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E-203/2017 vom 27. April 2017</w:t>
      </w:r>
    </w:p>
    <w:p>
      <w:r>
        <w:t>Bundesverwaltungsgericht, 2017-04-27, FR</w:t>
      </w:r>
    </w:p>
    <w:p>
      <w:r>
        <w:rPr>
          <w:b/>
        </w:rPr>
        <w:t xml:space="preserve">Quelle: </w:t>
      </w:r>
      <w:r>
        <w:t>https://mcp.opencaselaw.ch/entscheid/bvger_E-203_2017</w:t>
      </w:r>
    </w:p>
    <w:p>
      <w:r>
        <w:t>FR: TAF E-203/2017 du 27 avril 2017</w:t>
      </w:r>
    </w:p>
    <w:p>
      <w:r>
        <w:t>IT: TAF E-203/2017 del 27 aprile 2017</w:t>
      </w:r>
    </w:p>
    <w:p>
      <w:pPr>
        <w:pStyle w:val="Heading2"/>
      </w:pPr>
      <w:r>
        <w:t>Regeste</w:t>
      </w:r>
    </w:p>
    <w:p>
      <w:r>
        <w:t>Asile (non-entrée en matière / procédure Dublin)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le SEM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La recourante a qualité pour recourir (cf. art. 48 al. 1 PA). Présenté dans la forme (cf. art. 52 al.1 PA) et le délai (cf. art. 108 al. 2 LAsi) prescrits par la loi, le recours est recevable.</w:t>
      </w:r>
    </w:p>
    <w:p>
      <w:r>
        <w:rPr>
          <w:b/>
        </w:rPr>
        <w:t>E. 1.4</w:t>
      </w:r>
    </w:p>
    <w:p>
      <w:r>
        <w:t>Dans un recours contre une décision de non-entrée en matière fondée sur l'art. 31a al. 1 let. b LAsi, peuvent être invoqués, en vertu de l'art. 106 al. 1 LAsi, la violation du droit fédéral, notamment l'abus ou l'excès dans l'exercice du pouvoir d'appréciation (let. a), et l'établissement inexact ou incomplet de l'état de fait pertinent (let. b). En revanche, le grief d'inopportunité de la décision attaquée est exclu (cf. ATAF 2014/26 consid. 5.6, 2015/9 consid. 8.2.2 et consid. 5.4 [non publié]).</w:t>
      </w:r>
    </w:p>
    <w:p>
      <w:r>
        <w:rPr>
          <w:b/>
        </w:rPr>
        <w:t>E. 2.1</w:t>
      </w:r>
    </w:p>
    <w:p>
      <w:r>
        <w:t>En l'espèce, la recourante invoque d'abord une violation de l'art. 16 par. 1 RD III. Elle soutient que ses liens de dépendance avec son frère, titulaire d'une autorisation cantonale de séjour pour réfugié reconnu en Suisse, avec lequel elle vit dans le même logement, doivent conduire à les laisser ensemble.</w:t>
      </w:r>
    </w:p>
    <w:p>
      <w:r>
        <w:rPr>
          <w:b/>
        </w:rPr>
        <w:t>E. 2.2</w:t>
      </w:r>
    </w:p>
    <w:p>
      <w:r>
        <w:t>L'art. 16 par. 1 RD III est directement applicable et, par conséquent, justiciable devant le Tribunal (cf. dans le même sens, arrêt du Tribunal E-2530/2016 du 24 août 2016 consid. 4.2 et réf. cit.). Cette disposition figurait déjà à l'art. 15 par. 2 RD II, en des termes toutefois plus courts.</w:t>
      </w:r>
    </w:p>
    <w:p>
      <w:r>
        <w:rPr>
          <w:b/>
        </w:rPr>
        <w:t>E. 2.3</w:t>
      </w:r>
    </w:p>
    <w:p>
      <w:r>
        <w:t>Lorsqu'elle a interprété l'art. 15 par. 2 RD II, la Cour de justice de l'Union européenne (CJUE) s'est exprimée, dans son arrêt K. du 6 novembre 2012 en l'affaire C-245/11, en ces termes : Quand les liens familiaux avaient existé dans le pays d'origine, il importait de vérifier que le demandeur d'asile ou la personne qui avait avec lui des liens familiaux avait effectivement besoin d'une assistance et, le cas échéant, que celui qui devait assurer l'assistance de l'autre était en mesure de le faire (par. 42). Elle a précisé que l'obligation de laisser « normalement » ensemble les personnes concernées devait être comprise en ce sens qu'un Etat membre ne pouvait déroger à cette obligation de laisser ensemble les personnes concernées que si une telle dérogation était justifiée en raison de l'existence d'une situation exceptionnelle (par. 46). Comme le Tribunal a déjà eu l'occasion d'en juger dans son arrêt E-2530/2016 du 24 août 2016 (consid. 4.3), les considérants précités de la CJUE demeurent d'actualité pour l'interprétation de l'art. 16 par. 1 RD III.</w:t>
      </w:r>
    </w:p>
    <w:p>
      <w:r>
        <w:rPr>
          <w:b/>
        </w:rPr>
        <w:t>E. 2.4</w:t>
      </w:r>
    </w:p>
    <w:p>
      <w:r>
        <w:t>En l'espèce, il est établi que la recourante est atteinte d'un état de stress post-traumatique et qu'elle bénéficie d'un traitement psychothérapeutique hebdomadaire et médicamenteux antidépresseur et hypnotique (cf. Faits, let. I). En revanche, il n'est pas établi qu'elle souffre d'une symptomatologie dépressive et post-traumatique à ce point grave et invalidante qu'en sus de la psychothérapie hebdomadaire et du traitement médicamenteux, elle aurait besoin quotidiennement et durablement d'une surveillance et d'une assistance de son frère. En effet, lors de son audition du 14 décembre 2016, la recourante n'était pas encore attribuée au même canton que celui où son frère était domicilié. Elle a alors exprimé sa volonté de pouvoir le rejoindre, mais elle n'a à aucun moment déclaré qu'elle nécessitait son assistance en raison de troubles de santé. Au contraire, elle a affirmé qu'elle n'avait pas de problèmes de santé. Lors de cette audition, elle a non seulement omis de parler de problèmes médicaux, mais a aussi répondu n'avoir pas été témoin d'actes terroristes, de chantage ou de coercition de la part d'organisations violentes ni d'exactions de la part d'unités de combat contre des civils. Des événements qu'elle a cités à l'appui de ses motifs d'asile, elle n'en a cité aucun de violent. A fortiori, de ses déclarations ne ressort aucun indice qu'elle ait pu être traumatisée par un événement particulier, lequel aurait engendré une dégradation de son état de santé psychique et nécessité l'instauration d'un suivi psychiatrique et médicamenteux quatre mois avant son départ de Syrie (cf. Faits, let. K). La recourante a ainsi manqué de constance à propos de sa problématique médicale et de ses besoins particuliers d'assistance familiale qui en découleraient. Elle ne saurait valablement exciper de son incompréhension de l'importance de ces faits sur l'issue de la procédure Dublin. En effet, elle a reçu au Centre d'enregistrement et de procédure de Vallorbe le formulaire « Feuille d'instruction sur la responsabilité pour le traitement de la procédure d'asile » l'avisant de son obligation de signaler à l'autorité l'éventualité d'une dépendance de l'aide d'un membre de sa parenté notamment pour cause d'une lourde maladie. Il s'agit d'un aide-mémoire qu'elle a déclaré avoir lu et compris lors de son audition. A cela s'ajoute qu'elle est présumée capable d'une certaine autonomie malgré ses troubles psychiques puisqu'alors qu'elle en souffrait déjà, elle a été capable de voyager sans être accompagnée d'un membre de sa famille depuis la Syrie jusqu'en Suisse, où elle a déclaré environ un mois après son arrivée qu'elle était en bonne santé. Ses déclarations, au stade de son recours, selon lesquelles son frère et sa belle-soeur lui offrent une présence en permanence, ainsi qu'un accompagnement en qualité d'interprète, ne sont pas étayées par pièces. De surcroît, le service d'interprète assuré par son frère est une assistance inhérente aux difficultés de compréhension culturelles voire linguistiques, mais non à un grave état de santé. Enfin, les velléités de suicide qui transparaissent de ses déclarations postérieures au prononcé de la décision de renvoi, n'astreignent pas la Suisse à s'abstenir de l'exécuter (cf. consid. 4.4 ci-après). La recourante est présumée avoir accès à son retour en Roumanie, le temps de l'examen de sa demande de protection internationale, à des soins essentiels pour ses troubles psychiatriques.</w:t>
      </w:r>
    </w:p>
    <w:p>
      <w:r>
        <w:rPr>
          <w:b/>
        </w:rPr>
        <w:t>E. 2.5</w:t>
      </w:r>
    </w:p>
    <w:p>
      <w:r>
        <w:t>Au vu de ce qui précède, la dépendance de la recourante, du fait d'une maladie grave, de l'assistance de son frère n'est pas établie. Partant, le grief de violation de l'art. 16 par. 1 RD III est infondé.</w:t>
      </w:r>
    </w:p>
    <w:p>
      <w:r>
        <w:rPr>
          <w:b/>
        </w:rPr>
        <w:t>E. 3.1</w:t>
      </w:r>
    </w:p>
    <w:p>
      <w:r>
        <w:t>La recourante fait ensuite valoir que la décision attaquée viole l'art. 8 CEDH.</w:t>
      </w:r>
    </w:p>
    <w:p>
      <w:r>
        <w:rPr>
          <w:b/>
        </w:rPr>
        <w:t>E. 3.2</w:t>
      </w:r>
    </w:p>
    <w:p>
      <w:r>
        <w:t>La protection de la « vie familiale » prévue à l'art. 8 par. 1 CEDH vise principalement les relations existant au sein de la famille au sens étroit et, plus particulièrement, entre époux (exceptionnellement concubins) ainsi qu'entre parents et enfants mineurs vivant en ménage commun (famille nucléaire). Selon la jurisprudence constante de la Cour européenne des droits de l'homme (ci-après : CourEDH), les rapports entre parents et enfants adultes ne bénéficient en principe pas de la protection de la « vie familiale » de l'art. 8 CEDH sans que soit démontrée « l'existence d'éléments supplémentaires de dépendance, autres que les liens affectifs normaux » (cf. notamment CourEDH, décision V.S. c. Belgique, no 67429/10, du 7 mai 2013, par. 71, arrêt Shala c. Suisse, no 52873/09, du 15 novembre 2012, par. 40 ; décision Kwakye-Nti et Dufie c. Pays-Bas, no 31519/96, du 7 novembre 2000). L'état de dépendance particulier peut résulter d'un handicap ou d'une maladie graves (cf. ATAF 2008/47 consid. 4.1.4, 2007/45 consid. 5.3 ; ATF 129 II 11 consid. 2, 120 Ib 257 consid. 1/d-e). L'extension de la protection de l'art. 8 par. 1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2C_614/2013 du 28 mars 2014 consid. 3).</w:t>
      </w:r>
    </w:p>
    <w:p>
      <w:r>
        <w:rPr>
          <w:b/>
        </w:rPr>
        <w:t>E. 3.3</w:t>
      </w:r>
    </w:p>
    <w:p>
      <w:r>
        <w:t>En l'espèce, pour les raisons déjà exposées ci-avant (cf. consid. 2.4), il n'est pas établi que la recourante souffre de troubles psychiatriques à ce point graves qu'ils rendent irremplaçables un accompagnement et des soins que seul son frère serait en mesure de lui prodiguer. D'ailleurs, elle n'a pas démontré que celui-ci, chez lequel elle loge, lui apportait, en sus de son affection, une aide concrète incluant des soins assidus au quotidien. En outre, elle est présumée avoir accès à son retour en Roumanie, le temps de l'examen de sa demande d'asile, à des soins médicaux appropriés pour ses troubles. Dans ces circonstances, la Suisse n'a aucune obligation positive découlant de l'art. 8 CEDH d'admettre sa responsabilité pour examiner la demande d'asile de la recourante et de prolonger ainsi la tolérance du séjour de celle-ci sur son sol en tant que requérante d'asile afin de lui permettre de vivre en ménage commun avec son frère (voir aussi, CourEDH, arrêt affaire A.S. c. Suisse, no 39350/13, 30 juin 2015, par. 44 à 52).</w:t>
      </w:r>
    </w:p>
    <w:p>
      <w:r>
        <w:rPr>
          <w:b/>
        </w:rPr>
        <w:t>E. 3.4</w:t>
      </w:r>
    </w:p>
    <w:p>
      <w:r>
        <w:t>En conséquence, le grief de violation de l'art. 8 CEDH est infondé.</w:t>
      </w:r>
    </w:p>
    <w:p>
      <w:r>
        <w:rPr>
          <w:b/>
        </w:rPr>
        <w:t>E. 4.1</w:t>
      </w:r>
    </w:p>
    <w:p>
      <w:r>
        <w:t>La recourante invoque encore que l'exécution de son renvoi en Roumanie viole l'art. 3 CEDH, car à son retour dans ce pays elle n'y aurait pas accès à une procédure d'asile et serait placée en rétention administrative, dans des conditions incompatibles avec le respect de la dignité humaine.</w:t>
      </w:r>
    </w:p>
    <w:p>
      <w:r>
        <w:rPr>
          <w:b/>
        </w:rPr>
        <w:t>E. 4.2</w:t>
      </w:r>
    </w:p>
    <w:p>
      <w:r>
        <w:t>S'agissant d'abord de l'accès à une procédure d'asile, l'examen de la demande de protection internationale de la recourante a certes été clos par décision du 17 octobre 2016 des autorités roumaines, qui l'avaient considérée comme implicitement retirée (cf. Faits, let. D). Toutefois, la recourante est présumée pouvoir en obtenir la réouverture (cf. art. 28 par. 2 et 3 de la directive 2013/32/UE du Parlement européen et du Conseil du 26 juin 2013 relative à des procédures communes pour l'octroi et le retrait de la protection internationale [refonte] [JO L 180/60 du 29.6.2013, ci-après : directive Procédure]). En tout état de cause, le respect à son égard du principe de non-refoulement par la Roumanie demeure présumé (voir art. 28 par. 2 de la directive Procédure). Elle n'a aucunement renversé, par un faisceau d'indices sérieux, concrets, et convergents, cette présomption.</w:t>
      </w:r>
    </w:p>
    <w:p>
      <w:r>
        <w:rPr>
          <w:b/>
        </w:rPr>
        <w:t>E. 4.3</w:t>
      </w:r>
    </w:p>
    <w:p>
      <w:r>
        <w:t>S'agissant du risque allégué de placement en rétention administrative, la recourante n'a pas rendu vraisemblable l'existence d'un faisceau d'indices sérieux, concrets et convergents permettant d'admettre la réalité d'une pratique des autorités roumaines de placement en rétention des requérants d'asile qui sont transférés vers la Roumanie sur la base du règlement Dublin, dans des conditions incompatibles avec le respect de la dignité humaine. Certes, Amnesty International a dénoncé, dans son rapport de 2015/16 sur la Roumanie, la rétention injustifiée dans ce pays de demandeurs d'asile déboutés et de « rapatriés de Dublin » (« Dublin returnees - asylum-seekers due to be transferred from one EU state to another, under the Dublin III regulation »). Toutefois, son rapport plus récent de 2016/17 ne contient plus aucune mention à ce sujet. En outre, dans son premier rapport précité, de 2015/16, Amnesty International faisait apparemment référence aux personnes devant être transférées par la Roumanie vers un autre Etat membre de l'espace Dublin, plutôt qu'à celles ayant été transférées vers la Roumanie (voir dans ce sens, Comité contre la torture, Observations finales concernant le deuxième rapport périodique de la Roumanie, CAT/C/ROU/CO/2, p. 6 ; voir aussi, Report of the Special Rapporteur on the human rights of migrants, Jorge Bustamante, Addendum, Mission to Romania, 15-20 June 2009, 17 mars 2010, A/HRC/14/30/Add.2, par. 80 à 85). Au demeurant, même s'il fallait admettre les déclarations de la recourante comme conformes à la réalité, son placement en rétention durant quinze jours à son arrivée en Roumanie en 2016 serait lié à son refus d'y demander immédiatement une protection internationale et donc à sa qualité d'alors de migrante en situation irrégulière.</w:t>
      </w:r>
    </w:p>
    <w:p>
      <w:r>
        <w:rPr>
          <w:b/>
        </w:rPr>
        <w:t>E. 4.4</w:t>
      </w:r>
    </w:p>
    <w:p>
      <w:r>
        <w:t>Pour le reste, il convient de relever que d'éventuelles menaces de suicide n'astreignent pas la Suisse à s'abstenir d'exécuter le renvoi, mais à prendre des mesures concrètes pour en prévenir la réalisation, conformément à la jurisprudence constante (cf. CourEDH, arrêt affaire A.S. c. Suisse, no 39350/13, 30 juin 2015, par. 34 et réf. cit. ; décision Ludmila Kochieva et autres c. Suède, no 75203/12, 30 avril 2013, par. 34 ; décision Dragan et autres c. Allemagne, no 33743/03, 7 octobre 2004, par. 2a ; JICRA 2005 n° 23 consid. 5.1 p. 212). En revanche, le risque suicidaire oblige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notamment parce qu'il faudrait prendre très au sérieux des menaces auto-agressives, et en informant dûment les autorités roumaines des troubles psychiatriques de la recourante et de son traitement médical. Il sera ensuite du ressort des autorités roumaines dûment informées par les autorités suisses de s'assurer de la prise en compte adéquate des besoins particuliers de la recourante, conformément à l'art. 32 RD III. Enfin, il n'appartient pas au médecin traitant de juger de l'aptitude au transport, mais au médecin de la société mandatée par le SEM pour l'accompagnement médical au moment de la mise en oeuvre du transfert. Le médecin accompagnant a le droit, conformément à l'accord entre le SEM et cette société et sur la base des directives de l'Académie suisse des sciences médicales, de s'opposer pour motifs médicaux à la mise en oeuvre du renvoi (cf. art. 11 al. 4 de l'ordonnance sur l'exécution du renvoi et de l'expulsion des étrangers du 11 août 1999 [OERE, RS 142.281] ; voir aussi arrêts du Tribunal E-8039/2015 du 18 décembre 2015 et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w:t>
      </w:r>
    </w:p>
    <w:p>
      <w:r>
        <w:rPr>
          <w:b/>
        </w:rPr>
        <w:t>E. 4.5</w:t>
      </w:r>
    </w:p>
    <w:p>
      <w:r>
        <w:t>Au vu de ce qui précède, le transfert n'est pas contraire aux obligations de la Suisse découlant des art. 33 Conv. réfugiés, 3 CEDH et 3 Conv. torture et le grief de violation de l'art. 3 CEDH est infondé.</w:t>
      </w:r>
    </w:p>
    <w:p>
      <w:r>
        <w:rPr>
          <w:b/>
        </w:rPr>
        <w:t>E. 4.6</w:t>
      </w:r>
    </w:p>
    <w:p>
      <w:r>
        <w:t>Enfin, le SEM n'a commis ni excès ni abus de son large pouvoir d'appréciation en refusant d'admettre l'existence de raisons humanitaires au sens de l'art. 29a al. 3 OA 1 en combinaison avec l'art. 17 par. 1 RD III (cf. ATAF 2015/9 consid. 8), nonobstant le souhait de la recourante d'une réunion avec son frère en Suisse.</w:t>
      </w:r>
    </w:p>
    <w:p>
      <w:r>
        <w:rPr>
          <w:b/>
        </w:rPr>
        <w:t>E. 5</w:t>
      </w:r>
    </w:p>
    <w:p>
      <w:r>
        <w:t>En l'absence d'indices correspondants ressortant des griefs présentés ou des pièces du dossier, il n'y a pas lieu de procéder à des constatations de fait complémentaires ou d'examiner d'autres questions de droit (cf. ATAF 2009/57 consid. 1.2 et réf. cit.). Partant, le recours, mal fondé, doit être rejeté et la décision attaquée être confirmée.</w:t>
      </w:r>
    </w:p>
    <w:p>
      <w:r>
        <w:rPr>
          <w:b/>
        </w:rPr>
        <w:t>E. 6</w:t>
      </w:r>
    </w:p>
    <w:p>
      <w:r>
        <w:t>Il n'est pas perçu de frais de procédure, dès lors que la recourante, qui a succombé dans ses conclusions, a été dispensée de leur paiement par décision incidente du juge instructeur du 1er février 2017 (cf. art. 63 al. 1 et 65 al.1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