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E-2038/2014 vom 1. Mai 2014</w:t>
      </w:r>
    </w:p>
    <w:p>
      <w:r>
        <w:t>Bundesverwaltungsgericht, 2014-05-01, DE</w:t>
      </w:r>
    </w:p>
    <w:p>
      <w:r>
        <w:rPr>
          <w:b/>
        </w:rPr>
        <w:t xml:space="preserve">Quelle: </w:t>
      </w:r>
      <w:r>
        <w:t>https://mcp.opencaselaw.ch/entscheid/bvger_E-2038_2014</w:t>
      </w:r>
    </w:p>
    <w:p>
      <w:r>
        <w:t>FR: TAF E-2038/2014 du 1 mai 2014</w:t>
      </w:r>
    </w:p>
    <w:p>
      <w:r>
        <w:t>IT: TAF E-2038/2014 del 1 maggio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vom 20. März 2014 aus, dass die Angaben zu den jeweiligen Inhaftierungen der Beschwerdeführenden widersprüchlich seien; zudem erscheine es eher konstruiert, dass die Ausreise der (...)jährigen Enkelin ihnen derart gravierende Probleme bereitet habe, weshalb die Vorbringen insgesamt nicht glaubhaft seien (Art. 7 AsylG), so dass deren Asylrelevanz nicht geprüft werden müsse.</w:t>
      </w:r>
    </w:p>
    <w:p>
      <w:r>
        <w:rPr>
          <w:b/>
        </w:rPr>
        <w:t>E. 4.2</w:t>
      </w:r>
    </w:p>
    <w:p>
      <w:r>
        <w:t>Die Rechtsvertreterin hielt in ihrer Eingabe vom 15. April 2014 demgegenüber fest, dass das BFM die illegale Ausreise sowie den Umstand, dass eine solche von den eritreischen Behörden als Republikflucht geahndet und massiv bestraft werde, nicht thematisiert habe. Bloss sei bemerkt worden, dass die Asylvorbringen nicht glaubhaft seien. An den Asylgründen würden die Beschwerdeführenden zwar festhalten, könnten diese aber nicht beweisen, weshalb sie den ablehnenden Entscheid betreffend Asyl nicht anfechten würden.</w:t>
      </w:r>
    </w:p>
    <w:p>
      <w:r>
        <w:rPr>
          <w:b/>
        </w:rPr>
        <w:t>E. 4.3</w:t>
      </w:r>
    </w:p>
    <w:p>
      <w:r>
        <w:t>Nach dem Gesagten ist der Asylpunkt in Rechtskraft erwachsen. Folglich bleibt lediglich zu prüfen, ob die Beschwerdeführenden durch ihre Ausreise aus Eritrea bei einer Rückkehr dorthin - mithin wegen subjektiver Nachfluchtgründe - befürchten müssten, ernsthaften Nachteilen im Sinne von Art. 3 AsylG ausgesetzt zu werden.</w:t>
      </w:r>
    </w:p>
    <w:p>
      <w:r>
        <w:rPr>
          <w:b/>
        </w:rPr>
        <w:t>E. 4.3.1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gemäss Art. 54 AsylG kein Asyl, werden indes als Flüchtlinge vorläufig aufgenommen (vgl. Entscheidungen und Mitteilungen der Schweizerischen Asylrekurskommission [EMARK] 2006 Nr. 1 E. 6.1 m.w.H.). Durch Republikflucht zum Flüchtling wird, wer sich aufgrund der unerlaubten Ausreise mit Sanktionen seines Heimatlandes konfrontiert sieht, die bezüglich ihrer Intensität und der politischen Motivation des Staates ernsthafte Nachteile gemäss Art. 3 Abs. 2 AsylG darstellen.</w:t>
      </w:r>
    </w:p>
    <w:p>
      <w:r>
        <w:rPr>
          <w:b/>
        </w:rPr>
        <w:t>E. 4.3.2</w:t>
      </w:r>
    </w:p>
    <w:p>
      <w:r>
        <w:t>Im Urteil D-3892/2008 vom 6. April 2010 hat sich das Bundesverwaltungsgericht zur Situation der illegalen Ausreise aus Eritrea dahingehend geäussert, dass gemäss Art. 11 der "Proclamation No. 24/1992" - welche die Ein- und Ausreise nach und von Eritrea regelt - ein legales Verlassen des Landes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den drakonischen Massnahmen der sinkenden Wehrbereitschaft und der Massenfluchtbewegung in der Bevölkerung Herr zu werden (vgl. Urteil des Bundesverwaltungsgerichts D-3892/2008 vom 6. April 2010 E. 5.3.2).</w:t>
      </w:r>
    </w:p>
    <w:p>
      <w:r>
        <w:rPr>
          <w:b/>
        </w:rPr>
        <w:t>E. 4.3.3</w:t>
      </w:r>
    </w:p>
    <w:p>
      <w:r>
        <w:t>Der heute (...)jährige Beschwerdeführer (gemäss seiner Identitätskarte ist er im Jahr (...) geboren) und seine (...)jährige Ehefrau, welche gemäss der Kopie der Identitätskarte Jahrgang (...) hat, sind zwar aufgrund ihres Alters nicht eindeutig von einer Visumserteilung ausgeschlossen. Hingegen sind die Beschwerdeführenden - einfache Landwirte, die seit der Unabhängigkeit Eritreas im Jahr 1993 nie Militärdienst geleistet haben; einzig der Beschwerdeführer habe während des Derg-Regimes (Militärjunta in Äthiopien, die nach dem Sturz des Kaisers Haile Selassie von 1974 bis 1987 an der Macht war) als Milizsoldat eine Waffe getragen (A11 S. 9) - wohl nicht als loyal zu beurteilen, was als Voraussetzung für eine Visumserteilung der eritreischen Behörden gilt. Insbesondere ist auch nicht davon auszugehen, dass sie die Bezahlung von rund $ 10'000.- hätten vornehmen können, da sie mit dem Verkauf ihres Viehs 100'000 Nakfa (ca. Fr. 6'000.-) erhielten, mit welchem sie die Reise nach Europa bezahlten (A5 S. 6). Folglich ist davon auszugehen, dass die Beschwerdeführenden ihre Heimat illegal verlassen haben. Die illegale Ausreise aus Eritrea wurde denn auch vom BFM nicht bestritten. Der vorinstanzliche Entscheid äussert sich diesbezüglich zwar in keiner Weise. Indessen ist einer internen Akte des BFM zu entnehmen, dass die behauptete illegale Ausreise nicht mit genügender Sicherheit widerlegt werden könne (A15). Mit der Verneinung der Flüchtlingseigenschaft verkennt das BFM indes, dass die Beschwerdeführenden aufgrund der gesetzlich angedrohten Strafe bei einer Rückkehr ernsthafte Nachteile im Sinne von Art. 3 AsylG - nicht nur eine Gefährdung nach Art. 3 EMRK - zu befürchten haben. Die Beschwerdeführenden erfüllen demnach die Anforderungen an die Flüchtlingseigenschaft.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Bundesamt das Anwesenheitsrecht nach den gesetzlichen Bestimmungen über die vorläufige Aufnahme. Die Beschwerdeführenden verfügen weder über eine ausländerrechtliche Aufenthaltsbewilligung noch über einen Anspruch auf Erteilung einer solchen. Die Wegweisung wurde demnach zu Recht angeordnet (vgl. EMARK 2001 Nr. 21). Da die Beschwerdeführenden mit Verfügung vom 20. März 2014 vorläufig aufgenommen wurden, erübrigen sich sodann weitere Ausführungen zur Frage der Durchführbarkeit des Vollzugs.</w:t>
      </w:r>
    </w:p>
    <w:p>
      <w:r>
        <w:rPr>
          <w:b/>
        </w:rPr>
        <w:t>E. 6</w:t>
      </w:r>
    </w:p>
    <w:p>
      <w:r>
        <w:t>Aus diesen Erwägungen ergibt sich, dass die angefochtene Verfügung Bundesrecht verletzt, soweit sie die Frage der Flüchtlingseigenschaft betrifft. Die Beschwerde ist daher gutzuheissen. Die Verfügung des BFM vom 20. März 2014 ist - die Ziffer 1 des Dispositivs betreffend - teilweise aufzuheben und das Bundesamt anzuweisen, die Flüchtlingseigenschaft der Beschwerdeführenden anzuerkennen.</w:t>
      </w:r>
    </w:p>
    <w:p>
      <w:r>
        <w:rPr>
          <w:b/>
        </w:rPr>
        <w:t>E. 7.1</w:t>
      </w:r>
    </w:p>
    <w:p>
      <w:r>
        <w:t>Bei diesem Ausgang des Verfahrens sind keine Kosten zu erheben (Art. 63 Abs. 1 und 2 VwVG). Mithin erweisen sich die Gesuche um Gewährung der unentgeltlichen Prozessführung und um Erlass des Kostenvorschusses als gegenstandlos.</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weist in ihrer Kostennote vom 15. April 2014 einen Gesamtaufwand von Fr. 1'216.40 aus (inkl. Auslagen und MWSt), was angemessen erscheint (Art. 10 Abs. 1 und 2 und Art. 14 VGKE). Die Parteientschädigung zu Lasten des BFM wird deshalb auf diesen Betrag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