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E-2036/2023 vom 20. April 2023</w:t>
      </w:r>
    </w:p>
    <w:p>
      <w:r>
        <w:t>Bundesverwaltungsgericht, 2023-04-20, DE</w:t>
      </w:r>
    </w:p>
    <w:p>
      <w:r>
        <w:rPr>
          <w:b/>
        </w:rPr>
        <w:t xml:space="preserve">Quelle: </w:t>
      </w:r>
      <w:r>
        <w:t>https://mcp.opencaselaw.ch/entscheid/bvger_E-2036_2023</w:t>
      </w:r>
    </w:p>
    <w:p>
      <w:r>
        <w:t>FR: TAF E-2036/2023 du 20 avril 2023</w:t>
      </w:r>
    </w:p>
    <w:p>
      <w:r>
        <w:t>IT: TAF E-2036/2023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genannten Kriterien in der dort aufgeführten Rangfolge (Prinzip der Hierarchie der Zuständigkeitskriterien; vgl. Art. 7 Abs. 1 Dublin-III-VO) anzuwenden.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Der Beschwerdeführer ist unbestrittenermassen über Kroatien illegal in das Hoheitsgebiet der Dublin-Mitgliedstaaten gelangt. Nachdem die kroatischen Behörden innert der in Art. 22 Abs. 1 Dublin-III-VO festgelegten Frist dem Aufnahmegesuch der Vorinstanz zugestimmt haben, ist die Zuständigkeit Kroatiens grundsätzlich gegeben. Die Angabe des Beschwerdeführers, er habe in Kroatien kein Asylgesuch eingereicht, hat auf die Zuständigkeit gestützt auf Art. 13 Dublin-III-VO keinen Einfluss. Die Dublin-III-VO räumt den Schutzsuchenden kein Recht ein, den ihren Antrag prüfenden Staat selber auszuwählen (vgl. BVGE 2010/45 E. 8.3).</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Auch unter Berücksichtigung der vom Beschwerdeführer geschilderten Erlebnisse mit Polizeibeamten während seines Aufenthaltes in Kroatien ist nicht davon auszugehen, Kroatien verstosse zum heutigen Zeitpunkt systematisch gegen seine vertraglichen Verpflichtungen als zuständiger Dublin-Mitgliedstaat im Falle einer Rücküberstellung von Asylsuchenden.</w:t>
      </w:r>
    </w:p>
    <w:p>
      <w:r>
        <w:rPr>
          <w:b/>
        </w:rPr>
        <w:t>E. 5.3</w:t>
      </w:r>
    </w:p>
    <w:p>
      <w:r>
        <w:t>Nach dem Gesagten ist die Anwendung von Art. 3 Abs. 2 Dublin-III-VO nicht gerechtfertigt.</w:t>
      </w:r>
    </w:p>
    <w:p>
      <w:r>
        <w:rPr>
          <w:b/>
        </w:rPr>
        <w:t>E. 6.1</w:t>
      </w:r>
    </w:p>
    <w:p>
      <w:r>
        <w:t>Nachfolgend ist zu prüfen, ob das Selbsteintrittsrecht nach Art. 17 Abs. 1 erster Satz Dublin-III-VO beziehungsweise Art. 29a Abs. 3 auszuüben ist.</w:t>
      </w:r>
    </w:p>
    <w:p>
      <w:r>
        <w:rPr>
          <w:b/>
        </w:rPr>
        <w:t>E. 6.2</w:t>
      </w:r>
    </w:p>
    <w:p>
      <w:r>
        <w:t>Der Beschwerdeführer macht in seiner Rechtsmitteleingabe im Wesentlichen geltend, er könne nicht nach Kroatien überstellt werden, da er sich zurzeit noch in ärztlicher Behandlung befinde. Er habe Probleme mit den (...) und leide an starken Schmerzen an der (...). Die diesbezüglichen Resultate eines MRI-Termins seien noch ausstehend. Zudem trug er im Dublin-Gespräch vor, in Kroatien würden die Menschenrechte nicht eingehalten und der Lebensstandard sei dort schlechter als in der Schweiz.</w:t>
      </w:r>
    </w:p>
    <w:p>
      <w:r>
        <w:rPr>
          <w:b/>
        </w:rPr>
        <w:t>E. 6.3</w:t>
      </w:r>
    </w:p>
    <w:p>
      <w:r>
        <w:t>Das Bundesverwaltungsgericht anerkennt angesichts der vom Beschwerdeführer geschilderten Erlebnisse und der Ausführungen in der Beschwerdeeingabe, dass das Verhalten der kroatischen Grenzbehörden und die Behandlung von Asylsuchenden im Rahmen der Erstaufnahme bis zur Gesuchstellung in Kroatien problematisch ist. Der Beschwerdeführer konnte jedoch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Urteil des BVGer E-1488/2020 E. 9.4). Auf Beschwerdeebene wird nichts vorgebracht, was an den Feststellungen des Gerichts etwas zu ändern vermöchte.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sind denn auch keine konkreten, den Beschwerdeführer betreffenden Gründe für die Annahme zu entnehmen, Kroatien werde ihn ohne Prüfung seiner Asylgründe nach Afghanistan überführen und ihn somit unter Missachtung des Non-Refoulement-Gebots zur Ausreise in ein Land zwingen, in dem sein Leib, sein Leben oder seine Freiheit aus einem Grund nach Art. 3 Abs. 1 AsylG gefährdet ist oder in dem er Gefahr laufen würde, zur Ausreise in ein solches Land gezwungen zu werden.</w:t>
      </w:r>
    </w:p>
    <w:p>
      <w:r>
        <w:rPr>
          <w:b/>
        </w:rPr>
        <w:t>E. 6.4</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 den vom Beschwerdeführer in seiner Rechtsmitteleingabe vorgetragenen gesundheitlichen Einschränkungen (Schmerzen am [...] und an der [...]) sind keine medizinischen Berichte oder weitere Angaben eingereicht worden. Auch zum Umstand, dass die Resultate einer MRI-Untersuchung ausstehend sein sollen, werden in der Beschwerde keine spezifizierenden Ausführungen gemacht. Im Rahmen des Dublin-Gesprächs vom 14. Februar 2023 hat er zu Protokoll gegeben, dass es ihm gesundheitlich gut gehe (vgl. SEM-Akten 1232234-15). Die vom Beschwerdeführer geltend gemachten Beschwerden stellen keine gravierenden Erkrankungen dar und können in Kroatien behandelt werden.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Kroatien verfügt über eine ausreichende medizinische Infrastruktur. Zudem sind die mit dem Vollzug der angefochtenen Verfügung beauftragten schweizerischen Behörden gehalten, dem aktuellen Gesundheitszustand des Beschwerdeführers bei der Organisation der Überstellung nach Kroatien Rechnung zu tragen. Die kroatischen Behörden werden vorgängig über die persönliche Situation des Beschwerdeführers informiert. Dies wird auch explizit sichergestellt durch die Ausführungen in der Gutheissung des Übernahmeersuchens vom 8. April 2023, wonach das SEM seitens der kroatischen Behörden darum ersucht wird, ihnen mindestens sieben Arbeitstage im Voraus Angaben zu allfälligen besonderen gesundheitlichen Aspekten abzugeben («any particular health situation, both from the physical and from the psychical point of view, as well as about any disability or delicate situation which can entail considerable reception problems»; vgl. Akte 18). Es liegen folglich keine Anhaltspunkte vor, wonach die Gesundheit des Beschwerdeführers bei einer Überstellung nach Kroatien ernsthaft gefährdet würde. Mithin besteht kein Anlass für einen zwingenden Selbsteintritt der Schweiz.</w:t>
      </w:r>
    </w:p>
    <w:p>
      <w:r>
        <w:rPr>
          <w:b/>
        </w:rPr>
        <w:t>E. 6.5</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6.6</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aufzunehmen.</w:t>
      </w:r>
    </w:p>
    <w:p>
      <w:r>
        <w:rPr>
          <w:b/>
        </w:rPr>
        <w:t>E. 7</w:t>
      </w:r>
    </w:p>
    <w:p>
      <w:r>
        <w:t>Die Vorinstanz ist demnach zu Recht gestützt auf Art. 31a Abs. 1 Bst. b AsylG auf das Asylgesuch des Beschwerdeführers nicht eingetreten und hat die Wegweisung nach Kroatien angeordnet. Die Beschwerde ist abzuweisen.</w:t>
      </w:r>
    </w:p>
    <w:p>
      <w:r>
        <w:rPr>
          <w:b/>
        </w:rPr>
        <w:t>E. 8.1</w:t>
      </w:r>
    </w:p>
    <w:p>
      <w:r>
        <w:t>Mit dem Entscheid in der Hauptsache sind die Gesuche um Erteilung der aufschiebenden Wirkung und um Verzicht auf die Erhebung eines Kostenvorschusses gegenstandslos geworden. Der mit superprovisorischer Massnahme vom 17. April 2023 angeordnete Vollzugsstopp fällt dahin.</w:t>
      </w:r>
    </w:p>
    <w:p>
      <w:r>
        <w:rPr>
          <w:b/>
        </w:rPr>
        <w:t>E. 8.2</w:t>
      </w:r>
    </w:p>
    <w:p>
      <w:r>
        <w:t>Das mit der Beschwerde gestellte Gesuch um Gewährung der unentgeltlichen Prozessführung ist abzuweisen, da die Begehren - wie sich aus den vorstehenden Erwägungen ergibt - als aussichtslos zu bezeichnen waren.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