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E-2036/2016 vom 21. November 2018</w:t>
      </w:r>
    </w:p>
    <w:p>
      <w:r>
        <w:t>Bundesverwaltungsgericht, 2018-11-21, DE</w:t>
      </w:r>
    </w:p>
    <w:p>
      <w:r>
        <w:rPr>
          <w:b/>
        </w:rPr>
        <w:t xml:space="preserve">Quelle: </w:t>
      </w:r>
      <w:r>
        <w:t>https://mcp.opencaselaw.ch/entscheid/bvger_E-2036_2016</w:t>
      </w:r>
    </w:p>
    <w:p>
      <w:r>
        <w:t>FR: TAF E-2036/2016 du 21 novembre 2018</w:t>
      </w:r>
    </w:p>
    <w:p>
      <w:r>
        <w:t>IT: TAF E-2036/2016 del 21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Wer um Asyl nachsucht, muss das Vorliegen von Vorfluchtgründen respektive von objektiven Nachfluchtgründen nachweisen oder zumindest glaubhaft machen. Vorfluchtgründe beziehungsweise objektive Nachfluchtgründe sind dann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Nach Durchsicht der Akten kommt das Bundesverwaltungsgericht zum Schluss, dass die Furcht des Beschwerdeführers, bei einer Rückkehr in seine Heimatregion durch die Behörden des irakischen Staats oder der Autonomen Region Kurdistan oder durch Private in asylrelevanter Weise verfolgt zu werden, unbegründet ist. Unabhängig davon, ob es sich bei der D._______, wie vom Beschwerdeführer im vorinstanzlichen Verfahren vorgetragen, um eine [ausländische] Firma oder, wie von ihm auf Beschwerdeebene im Gegensatz dazu geltend gemacht, um ein von seinem Heimatstaat kontrolliertes Unternehmen handelt, leuchtet es nicht ein, weshalb dieses oder die Autonome Region Kurdistan ihn wegen des unangekündigten Fernbleibens von seiner Arbeit in asylrelevanter Weise verfolgen sollten. Als Begründung für diese Ansicht gab der Beschwerdeführer im vorinstanzlichen Verfahren an, dass er - aufgrund früherer Vorfälle betreffend andere Angestellte - Angst gehabt habe, zu Unrecht der Unterschlagung von intakten Minen verdächtigt zu werden; seine Ausreise müsse dieses Misstrauen ihm gegenüber noch zusätzlich erhöht haben. Dafür, dass er je konkret eines entsprechenden Verhaltens verdächtigt worden wäre, gibt es aber keinerlei Anhaltspunkte. Vielmehr trug er anlässlich der vertieften Anhörung vor, dass er selbst nie Minen veruntreut habe oder in solche Taten verwickelt gewesen sei und ihm auch nie dergleichen zum Vorwurf gemacht worden sei (vgl. A15/19, F63 ff.). Folglich erscheint die Furcht, bei einer Rückkehr in seine Heimatregion deswegen asylrelevante Verfolgung zu erleiden, unbegründet. Auch die auf Beschwerdeebene vorgetragene Erklärung, Personen wie er, die das Minenräumungsunternehmen aus Überzeugung oder Gewissensgründen verliessen, würden wegen der strategischen Bedeutung solcher Firmen für den Staat von diesem als Verräter angesehen und verfolgt, vermag nicht zu überzeugen. Es erscheint abwegig, dass sich der irakische Staat respektive die Autonome Region Kurdistan derart mit den auf dem irakischen Territorium tätigen Minenräumungsunternehmen identifizieren, dass die Kündigung eines Arbeitsverhältnisses mit einer solchen Firma gleich als oppositionelle Haltung aufgefasst wird. Inwiefern der Beschwerdeführer seine Arbeit nicht mehr mit seinem Gewissen vereinbaren konnte, wie von ihm in seiner Rechtsmitteleingabe erstmals geltend gemacht, erläutert er nicht. Er gibt lediglich vage an, dass er mit den versteckten Aktivitäten des Unternehmens nicht einverstanden gewesen sei - ein Vorbringen, das im vorinstanzlichen Verfahren gänzlich fehlt und damit nachgeschoben wirkt. Der Beschwerdeführer machte denn auch mit keinem Wort geltend, dass er sich nach Verlassen seines Arbeitsplatzes negativ zur D._______ oder deren Aktivitäten geäussert hätte. Es ist folglich nicht ersichtlich, weshalb ihn Vertreter des Unternehmens oder des Staates bei einer Rückkehr in seine Heimatregion verfolgen sollten. Nach dem Gesagten hat das SEM die Flüchtlingseigenschaft des Beschwerdeführers demnach zu Recht verneint und sein Asylgesuch zutreffenderweise abgewiesen.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ist im heutigen Zeitpunkt nicht im Besitz einer ausländerrechtliche Aufenthaltsbewilligung. Angesichts des aktenkundigen Ehevorbereitungsverfahrens wird er jedoch darauf hingewiesen, dass er sich nach der Heirat zwecks Prüfung seines Anspruchs auf Erteilung einer Aufenthaltsbewilligung ans zuständige kantonale Migrationsamt zu wenden hat. Gegenwärtig verfügt er aber noch nicht über einen solchen Anspruch, weshalb die durch das SEM in der angefochtenen Verfügung angeordnete Wegweisung zu bestätigen ist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Der Vollzug der Wegweisung in die Herkunftsregion des Beschwerdeführers ist unter dem Aspekt von Art. 5 AsylG rechtmässig, da dieser - wie in E. 4 dargelegt - nicht glaubhaft machen konnte, dass er dort Nachteilen im Sinne von Art. 3 AsylG ausgesetzt wäre. Aus seinen Vorbringen ergeben sich auch keine konkreten und gewichtigen Anhaltspunkte für die Annahme, dass er im Fall einer Rückschaffung dorthin mit beachtlicher Wahrscheinlichkeit einer nach Art. 3 EMRK verbotenen Strafe oder Behandlung ausgesetzt wäre (vgl. Urteil des EGMR Saadi gegen Italien 28. Februar 2008, Grosse Kammer 37201/06, §§ 124-127 m.w.H.). Zudem lässt die allgemeine Menschenrechtslage in der Herkunftsregion des Beschwerdeführers den Wegweisungsvollzug zum heutigen Zeitpunkt nicht als unzulässig erscheinen (vgl. die weiterhin zutreffende Lagebeurteilung im Urteil des BVGer E-3737/2015 vom 14. Dezember 2015 E. 6.3.2 [als Referenzurteil publiziert]).</w:t>
      </w:r>
    </w:p>
    <w:p>
      <w:r>
        <w:rPr>
          <w:b/>
        </w:rPr>
        <w:t>E. 6.2.2</w:t>
      </w:r>
    </w:p>
    <w:p>
      <w:r>
        <w:t>Der Vollzug der Wegweisung ist daher sowohl im Sinne der asylgesetzlichen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Im weiterhin aktuellen Referenzurteil E-3737/2015 vom 14. Dezember 2015 (E. 7.4) bestätigte das Bundesverwaltungsgericht seine in BVGE 2008/5 publizierte Praxis zur Frage der Zumutbarkeit des Wegweisungsvollzugs in die kurdischen Provinzen des Nordiraks. Es hielt fest, dass in den vier Provinzen der Autonomen Kurdischen Region (das Gebiet wird seit Anfang 2015 durch die Provinzen Dohuk, Erbil, Suleimaniya sowie der von Letzterer abgespalteten Provinz Halabja gebildet) nach wie vor nicht von einer Situation allgemeiner Gewalt im Sinne von Art. 83 Abs. 4 AuG auszugehen sei und auch keine konkreten Anhaltspunkte für die Annahme vorlägen, dies werde sich in absehbarer Zeit massgeblich verändern. Die langjährige Praxis gemäss BVGE 2008/5 für aus dieser Region stammende Kurden bleibe somit grundsätzlich weiterhin anwendbar. Allerdings sei jeweils der Prüfung des Vorliegens begünstigender individueller Faktoren besonderes Gewicht beizumessen. So setze die Anordnung des Wegweisungsvollzugs voraus, dass die betreffende Person ursprünglich aus der Region stamme oder eine längere Zeit dort gelebt habe und über ein soziales Netz (Familie, Verwandtschaft oder Bekanntenkreis) oder über Beziehungen zu den herrschenden Parteien verfüge. Andernfalls dürfte eine soziale und wirtschaftliche Integration in die kurdische Gesellschaft nicht gelingen, da der Erhalt einer Arbeitsstelle oder von Wohnraum weitgehend von gesellschaftlichen und politischen Beziehungen abhänge (vgl. BVGE 2008/5 E. 7.5).</w:t>
      </w:r>
    </w:p>
    <w:p>
      <w:r>
        <w:rPr>
          <w:b/>
        </w:rPr>
        <w:t>E. 6.3.2</w:t>
      </w:r>
    </w:p>
    <w:p>
      <w:r>
        <w:t>Der Beschwerdeführer hat eigenen Angaben zufolge seit seiner Geburt bis zu seiner Ausreise aus seinem Heimatstaat im Dorf B._______ in der Provinz C._______ gelebt (vgl. A3/11, Rz. 2.02; A15/19, F13). Dort hat er zahlreiche Verwandte, das heisst (...) (vgl. A3/11, Rz. 3.01; A15/19, F13 ff.). Er verfügt in seiner Heimatregion somit über ein Beziehungsnetz, auf dessen Hilfe er bei seiner Rückkehr nötigenfalls zählen kann. Zudem hat der junge und gesunde Beschwerdeführer seine (...)jährige Schulzeit [mit einem Diplom abgeschlossen] und daraufhin während eineinhalb bis zwei Jahren für ein ausländisches Unternehmen in seiner Heimatregion gearbeitet (vgl. A3/11, Rz. 8.02; A15/19, F24 f. und A16, Beilage 1). Unter diesen Umständen ist davon auszugehen, dass er sich im Nordirak nicht nur sozial, sondern auch wirtschaftlich wieder integrieren kann.</w:t>
      </w:r>
    </w:p>
    <w:p>
      <w:r>
        <w:rPr>
          <w:b/>
        </w:rPr>
        <w:t>E. 6.3.3</w:t>
      </w:r>
    </w:p>
    <w:p>
      <w:r>
        <w:t>Nach dem Gesagten erweist sich der Vollzug der Wegweisung auch als zumutbar.</w:t>
      </w:r>
    </w:p>
    <w:p>
      <w:r>
        <w:rPr>
          <w:b/>
        </w:rPr>
        <w:t>E. 6.4</w:t>
      </w:r>
    </w:p>
    <w:p>
      <w:r>
        <w:t>Der Vollzug ist schliesslich nach Art. 83 Abs. 2 AuG auch als möglich zu bezeichnen, weil der Beschwerdeführer über einen bis ins Jahre 2022 gültigen Reisepass verfügt. Alternativ obliegt es ihm selbst, sich bei der zuständigen Vertretung des Heimatstaates die für eine Rückkehr notwendigen Reisedokumente zu beschaffen.</w:t>
      </w:r>
    </w:p>
    <w:p>
      <w:r>
        <w:rPr>
          <w:b/>
        </w:rPr>
        <w:t>E. 6.5</w:t>
      </w:r>
    </w:p>
    <w:p>
      <w:r>
        <w:t>Zusammenfassend hat das SEM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Nachdem das Bundesverwaltungsgericht das Gesuch um Gewährung der unentgeltlichen Prozessführung mit Zwischenverfügung vom 25. Mai 2016 gutgeheissen hat, ist jedoch auf die Auferlegung von Verfahrenskosten zu verzichten. Ein Gesuch um unentgeltliche Rechtsverbeiständung wurde nicht gestellt.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