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E-2034/2020 vom 4. Juni 2020</w:t>
      </w:r>
    </w:p>
    <w:p>
      <w:r>
        <w:t>Bundesverwaltungsgericht, 2020-06-04, DE</w:t>
      </w:r>
    </w:p>
    <w:p>
      <w:r>
        <w:rPr>
          <w:b/>
        </w:rPr>
        <w:t xml:space="preserve">Quelle: </w:t>
      </w:r>
      <w:r>
        <w:t>https://mcp.opencaselaw.ch/entscheid/bvger_E-2034_2020</w:t>
      </w:r>
    </w:p>
    <w:p>
      <w:r>
        <w:t>FR: TAF E-2034/2020 du 4 juin 2020</w:t>
      </w:r>
    </w:p>
    <w:p>
      <w:r>
        <w:t>IT: TAF E-2034/2020 del 4 giugno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nahm die Eingabe vom 3. März 2020 als Mehrfachgesuch im Sinne von Art. 111c AsylG entgegen. In der angefochtenen Verfügung wird im Zusammenhang mit der Präsidentschaftswahl vom 16. November 2019 und dem anschliessenden Machtwechsel ausgeführt, zum jetzigen Zeitpunkt bestehe kein Anlass zur Annahme, dass ganze Volksgruppen unter dem Präsidenten Gotabaya Rajapaksa einer Kollektivverfolgung ausgesetzt wären. Der Beschwerdeführer habe im Mehrfachgesuch nicht dargelegt, aus welchen Gründen er infolge des Machtwechsels in Sri Lanka bei einer Rückkehr verfolgt werde. Ein persönlicher Bezug zum Beschwerdeführer sei nicht ersichtlich. An dieser Einschätzung ändere auch der Umstand nichts, dass er auf seine im ordentlichen Verfahren geltend gemachte Verfolgung verweise, zumal diese als unglaubhaft erachtet worden sei. Der Beschwerdeführer mache weiter geltend, seine Ehefrau werde nach wie vor durch CID-Beamte aufgesucht und nach seinem Verbleib gefragt. Diesbezüglich sei festzustellen, dass das Bundesverwaltungsgericht im Urteil vom 25. Oktober 2019 festgehalten habe, dass das Bestätigungsschreiben der Ehefrau, wonach die Verfolgungssituation im Zeitpunkt des Beschwerdeverfahrens nach wie vor aktuell sei, aufgrund der familiären Verbundenheit und der evidenten Interessenlage lediglich einen geringen Beweiswert aufweisen würde. Die Ausführungen, wonach seine Ehefrau nach wie vor alle zwei Monate nach seinem Verbleib befragt werde, vermöge diese Einschätzung nicht zu revidieren, da es sich um eine durch nichts belegte Behauptung des Beschwerdeführers handelt. Zudem sei anzumerken, dass insbesondere seine zeitlichen Angaben in Bezug auf das Ereignis, bei dem seiner Ehefrau das (...) abgenommen worden sein soll, vage und ausweichend ausgefallen seien. Insofern er in diesem Zusammenhang geltend mache, seine Ehefrau und die älteste Tochter seien einem erhöhten Risiko von sexuellen Übergriffen durch Angehörige des Militärs, der Polizei, Deserteure oder Angehörige militanter Gruppen ausgesetzt, verweise er lediglich pauschal auf Berichte der Schweizerischen Flüchtlingshilfe und des USDOS. Seinen Angaben seien keine Hinweise oder gar Belege auf entsprechende Erlebnisse seiner Angehörigen zu entnehmen. Schliesslich sei die psychische Erkrankung des Beschwerdeführers im ordentlichen Verfahren bereits bekannt gewesen. Das Bundesverwaltungsgericht habe im Urteil vom 25. Oktober 2019 die gesundheitliche Situation bei der Beurteilung der Glaubhaftigkeit der Aussagen ausführlich gewürdigt. Vor diesem Hintergrund sei nicht ersichtlich, inwiefern die Auseinandersetzung mit der psychischen Verfassung und deren Auswirkungen auf die Aussagefähigkeit nicht ausreichend erfolgt sein soll. Im Arztbericht vom 23. März 2020 stehe die Einschätzung des Suizidrisikos im Vordergrund. Insoweit Wiedererleben, Vermeidung oder Überregung thematisiert würden, geschehe dies unter allgemeinem Verweis auf traumatische Erfahrungen im Bürgerkrieg in Sri Lanka. Eine Neubeurteilung der Glaubhaftigkeit der Angaben im ordentlichen Verfahren sei vor diesem Hintergrund nicht angezeigt.</w:t>
      </w:r>
    </w:p>
    <w:p>
      <w:r>
        <w:rPr>
          <w:b/>
        </w:rPr>
        <w:t>E. 6.1</w:t>
      </w:r>
    </w:p>
    <w:p>
      <w:r>
        <w:t>In der Rechtsmitteleingabe rügt der Beschwerdeführer zunächst, die Vorinstanz habe in unzulässiger Weise einen Nichteintretensentscheid gefällt. Er habe sein Gesuch schriftlich eingereicht und hinreichend begründet, womit alle formellen Voraussetzungen erfüllt gewesen seien.</w:t>
      </w:r>
    </w:p>
    <w:p>
      <w:r>
        <w:rPr>
          <w:b/>
        </w:rPr>
        <w:t>E. 6.2</w:t>
      </w:r>
    </w:p>
    <w:p>
      <w:r>
        <w:t>Nicht gehörig begründete Folgegesuche können als Ausdruck einer mangelnden Mitwirkung gemäss Art. 111c Abs. 1 AsylG in Verbindung mit Art. 13 Abs. 2 VwVG mit einem Nichteintretensentscheid erledigt werden (vgl. BVGE 2014/39 E. 7.1).</w:t>
      </w:r>
    </w:p>
    <w:p>
      <w:r>
        <w:rPr>
          <w:b/>
        </w:rPr>
        <w:t>E. 6.3</w:t>
      </w:r>
    </w:p>
    <w:p>
      <w:r>
        <w:t>Aufgrund der Erwägungen in der angefochtenen Verfügung kann nicht festgestellt werden, dass die Vorinstanz auf die Sache nicht eingetreten wäre. Zwar wird in der angefochtenen Verfügung ausgeführt, das SEM trete gestützt auf Art. 111c AsylG i.V.m. Art. 13 Abs. 2 VwVG auf das Mehrfachgesuch nicht ein. Dies jedoch nachdem es sich im Flüchtlingspunkt unter anderem eingehend mit dem Arztzeugnis, dessen Eignung als Beweismittel im Zusammenhang mit der vorgebrachten Verfolgung und der Lage in Sri Lanka auseinandersetzte. Insofern hat sich die Vorinstanz materiell zu den Vorbringen geäussert, weshalb die Verfügung vom 6. April 2020 im Ergebnis als Abweisung des Mehrfachgesuches vom 3. März 2020 zu qualifizieren ist. Der Beschwerdeführer führte selbst aus, dass sich die Vorinstanz materiell mit seinen Vorbringen und Beweismitteln auseinandergesetzt hat (vgl. Beschwerde S. 5). Auf die in der Rechtsmitteleingabe vorgebrachten Einwände in Bezug auf das Nichteintreten der Vorinstanz ist somit nicht weiter einzugehen. Eine Verletzung des rechtlichen Gehörs liegt nicht vor.</w:t>
      </w:r>
    </w:p>
    <w:p>
      <w:r>
        <w:rPr>
          <w:b/>
        </w:rPr>
        <w:t>E. 6.4</w:t>
      </w:r>
    </w:p>
    <w:p>
      <w:r>
        <w:t>Allein aus der unkorrekten Formulierung der Rechtsfolge durch die Vor-instanz ist dem Beschwerdeführer kein Nachteil erwachsen. Jedoch enthält die Verfügung eine unzutreffende Rechtsmittelbelehrung, indem diese als Rechtsmittelfrist die für Nichteintretensentscheide geltende kurze fünftägige Frist vorsieht (vgl. Art. 108 Abs. 3 AsylG). Trotz dieser Verkürzung der Rechtsmittelfrist war es dem Beschwerdeführer in casu möglich, eine hinreichende Rechtsmitteleingabe auszufertigen und einzureichen. Ferner ergänzte er die Beschwerde mit der Eingabe vom 8. Mai 2020. Insofern erscheint ihm auch aus der fehlerhaften Rechtsmittelbelehrung kein Nachteil entstanden zu sein. Der Mangel erweist sich vorliegend nicht als dermassen gravierend, dass sich eine Rückweisung an die Vorinstanz aufdrängen würde. Dem Versehen ist jedoch bei der Kostenauferlegung angemessen Rechnung zu tragen (vgl. nachfolgend E. 10.1).</w:t>
      </w:r>
    </w:p>
    <w:p>
      <w:r>
        <w:rPr>
          <w:b/>
        </w:rPr>
        <w:t>E. 6.5</w:t>
      </w:r>
    </w:p>
    <w:p>
      <w:r>
        <w:t>Die Argumentation des Beschwerdeführers in der Rechtsmitteleingabe, er habe keine genauen Angaben zur Kontrolle des (...) seiner Ehefrau durch die Behörden machen können, weil sich er und seine Ehefrau belastende Elemente aufgrund ihrer psychischen Verfassung vorenthalten würden, vermag nicht ansatzweise zu überzeugen. Die Vorbringen im Rahmen eines Mehrfachgesuchs sind hinreichend und schriftlich zu begründen. Insofern darf vom Beschwerdeführer erwartet werden, dass er genaue Angaben zur angeblichen Kontrolle des (...) seiner Ehefrau und allfälligen weiteren Verfolgungsmassnahmen machen kann. Vor diesem Hintergrund ist der Antrag auf Fristansetzung zur Nachreichung eines Beweismittels bezüglich der aktuellen Situation der Familie abzuweisen. Sodann versuchte der Beschwerdeführer bereits im ordentlichen Verfahren seine widersprüchlichen und nachgeschobenen Angaben mittels seiner schlechten psychischen Verfassung zu erklären. Das Gericht führte dazu im Urteil E-4839/2018 vom 25. Oktober 2019 aus, dass die in den ärztlichen Unterlagen diagnostizierten gesundheitlichen Probleme die festgestellten Widersprüche nicht allesamt relativieren könnten (vgl. E. 5.2.4). Das Vorbringen im Rahmen des Mehrfachgesuchs, ihm werde ein Mitwissen betreffend allfälliger (...) vorgeworfen, weil er in der Nähe einer LTTE-Siedlung gewohnt habe, ist sodann als nachgeschoben zu erachten. Der Beschwerdeführer machte weder geltend, in der Nähe einer LTTE-Siedlung gewohnt zu haben, noch, dass ihm aufgrund dessen ein Mitwissen über (...) vorgeworfen worden sei. Er führt nicht ansatzweise aus, weshalb es ihm nicht möglich gewesen sein sollte, dies im ordentlichen Verfahren geltend zu machen. Sodann machte er bereits auf Beschwerdeebene im ordentlichen Verfahren ein Mitwissen an (...) der LTTE geltend, setzte dieses jedoch nicht in Zusammenhang mit der Nähe seines Hauses zu einer LTTE-Siedlung. Das Gericht qualifizierte das entsprechende Vorbringen als nachgeschoben, da es in den protokollierten Aussagen keine Stütze fand (vgl. Urteil des BVGer E-4839/2018 vom 25. Oktober 2019 E. 5.2.3). Um Wiederholungen zu vermeiden kann schliesslich vollumfänglich auf die weiteren zutreffenden Ausführungen in der angefochtenen Verfügung verwiesen werden.</w:t>
      </w:r>
    </w:p>
    <w:p>
      <w:r>
        <w:rPr>
          <w:b/>
        </w:rPr>
        <w:t>E. 6.6</w:t>
      </w:r>
    </w:p>
    <w:p>
      <w:r>
        <w:t>Zusammenfassend ist die Vorinstanz in der angefochtenen Verfügung zum Schluss gelangt, die neuen Vorbringen und Beweismittel vermöchten nichts am Ergebnis des Urteils E-4839/2018 vom 25. Oktober 2019 zu ändern und hat das Mehrfachgesuch im Ergebnis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8.3.2</w:t>
      </w:r>
    </w:p>
    <w:p>
      <w:r>
        <w:t>Ferner war bereits zum Zeitpunkt des Urteils des Bundesverwaltungsgerichts E-4839/2018 vom 25. Oktober 2019 bekannt, dass der Beschwerdeführer an einer (...) und einer (...), gegenwärtig (...), leidet. Das Gericht hat ausführlich dargelegt, dass Sri Lanka über ein funktionierendes Gesundheitswesen verfügt und der Beschwerdeführer dort die notwendige Behandlung erhalten kann. Diese Einschätzungen behalten auch unter Berücksichtigung der Arztberichte vom 23. Januar, 16. und 29. April 2020 ihre Gültigkeit. Dem Bericht der (...) vom 29. April 2020 lässt sich entnehmen, dass der Beschwerdeführer an einer (...), gegenwärtig (...) vor dem Hintergrund eines (...)prozesses nach (...) eines nahen (...), und einer (...) leidet. Während der Behandlung habe sich der Zustand des Beschwerdeführers deutlich verbessert und die (...) sei zurückgegangen. Die in der Rechtsmitteleingabe enthaltenen Ausführungen, insbesondere zur Corona-Pandemie (vgl. nachfolgend E. 8.5), vermögen an der Feststellung, der Beschwerdeführer werde sowohl während des Transports als auch in seinem Heimatland bei Bedarf die notwendige Behandlung erhalten, nichts zu ändern. Einer allfälligen drohenden Suizidalität kann im Rahmen des Wegweisungsvollzuges angemessen Rechnung getragen werden. Die psychische Erkrankung des Beschwerdeführers stellt demnach kein Wegweisungsvollzugshindernis dar.</w:t>
      </w:r>
    </w:p>
    <w:p>
      <w:r>
        <w:rPr>
          <w:b/>
        </w:rPr>
        <w:t>E. 8.3.3</w:t>
      </w:r>
    </w:p>
    <w:p>
      <w:r>
        <w:t>In Bezug auf das Vorliegen weiterer individueller Zumutbarkeitskriterien kann vollumfänglich auf das Urteil des Bundesverwaltungsgerichts E-4839/2018 vom 25. Oktober 2019 E. 7.3.3 verwiesen werden. Der Vollzug der Wegweisung ist auch in individueller Hinsicht zumutbar.</w:t>
      </w:r>
    </w:p>
    <w:p>
      <w:r>
        <w:rPr>
          <w:b/>
        </w:rPr>
        <w:t>E. 8.4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 Auf den Bericht der SFH vom 1. Mai 2020 zur Coronavirus-Pandemie ist demnach nicht weiter einzugehen.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Die Beschwerde ist abzuweisen.</w:t>
      </w:r>
    </w:p>
    <w:p>
      <w:r>
        <w:rPr>
          <w:b/>
        </w:rPr>
        <w:t>E. 10.1</w:t>
      </w:r>
    </w:p>
    <w:p>
      <w:r>
        <w:t>Der Beschwerdeführer beantragt die Gewährung der unentgeltlichen Prozessführung und der amtlichen Verbeiständung. Aus den vorstehenden Erwägungen und insbesondere aufgrund der festgestellten Mängel im Zusammenhang mit dem erstinstanzlichen Verfahren ist die Beschwerde nicht zum vornherein als aussichtlos zu bezeichnen. Das Gesuch um Gewährung der unentgeltlichen Prozessführung ist demnach gutzuheissen. Es sind keine Verfahrenskosten zu erheben.</w:t>
      </w:r>
    </w:p>
    <w:p>
      <w:r>
        <w:rPr>
          <w:b/>
        </w:rPr>
        <w:t>E. 10.2</w:t>
      </w:r>
    </w:p>
    <w:p>
      <w:r>
        <w:t>Bei Beschwerden gegen die Ablehnung von Mehrfachgesuchen im Asylverfahren folgt die amtliche Verbeiständung den Vorgaben des Art. 65 Abs. 2 VwVG (aArt. 110a Abs. 2 AsylG). Das Gesuch um Gewährung der amtlichen Verbeiständung ist demnach gutzuheissen und MLaw Cora Dubach ist als amtliche Vertreterin des Beschwerdeführers einzusetzen (vgl. Urteile des BVGer E-2413/2014 vom 13. Juli 2015, E-2381/2019 vom 12. Juli 2019; Zusatzbotschaft zur Änderung des Asylgesetzes (Kurzfristige Massnahmen) vom 23. September 2011, BBl 2011 7325, 7332 f.). Die Rechtsvertreterin macht in ihrer Kostennote einen Aufwand von 8,5 Stunden à Fr. 150. - und Auslagen in der Höhe von Fr. 358.- (total Fr. 1'633.-) geltend. Der Aufwand erscheint angemessen. Nicht zu entschädigen sind mangels Notwendigkeit die Kosten für die Schnellrecherche der SFH vom 1. Mai 2020 (Sri Lanka: Psychiatrische Behandlung während der Corona-Virus-Pandemie) in der Höhe von Fr. 300.-. Das durch das Bundesverwaltungsgericht zu entrichtende Honorar ist demnach auf Fr. 1'333.-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