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E-2034/2016 vom 12. April 2016</w:t>
      </w:r>
    </w:p>
    <w:p>
      <w:r>
        <w:t>Bundesverwaltungsgericht, 2016-04-12, DE</w:t>
      </w:r>
    </w:p>
    <w:p>
      <w:r>
        <w:rPr>
          <w:b/>
        </w:rPr>
        <w:t xml:space="preserve">Quelle: </w:t>
      </w:r>
      <w:r>
        <w:t>https://mcp.opencaselaw.ch/entscheid/bvger_E-2034_2016</w:t>
      </w:r>
    </w:p>
    <w:p>
      <w:r>
        <w:t>FR: TAF E-2034/2016 du 12 avril 2016</w:t>
      </w:r>
    </w:p>
    <w:p>
      <w:r>
        <w:t>IT: TAF E-2034/2016 del 12 aprile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1.3</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1.4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2.1</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2.2</w:t>
      </w:r>
    </w:p>
    <w:p>
      <w:r>
        <w:t>Jeder Antrag wird von einem einzigen Mitgliedstaat geprüft, der nach den Kriterien des Kapitels III als zuständiger Staat bestimmt wird (Art. 3 Abs. 1, Satz 2 Dublin-III-VO).</w:t>
      </w:r>
    </w:p>
    <w:p>
      <w:r>
        <w:rPr>
          <w:b/>
        </w:rPr>
        <w:t>E. 2.3</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2.4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3.1</w:t>
      </w:r>
    </w:p>
    <w:p>
      <w:r>
        <w:t>Die Vorinstanz stellt in der angefochtenen Verfügung fest, die spanischen Behörden hätten das Übernahmeersuchen des SEM gestützt auf Art. 13 Abs. 1 Dublin-III-VO gutgeheissen. Aufgrund der illegalen Einreise des Beschwerdeführers in Spanien sei gemäss der Dublin-III-VO Spanien für die Durchführung des Asyl- und Wegweisungsverfahrens zuständig. Sodann liege aufgrund der Akten kein Grund für einen Selbsteintritt der Schweiz vor. Die Überstellung nach Spanien habe - vorbehältlich einer allfälligen Unterbrechung oder Verlängerung der Überstellungsfrist - bis spätestens am 15. September 2016 zu erfolgen.</w:t>
      </w:r>
    </w:p>
    <w:p>
      <w:r>
        <w:rPr>
          <w:b/>
        </w:rPr>
        <w:t>E. 3.2</w:t>
      </w:r>
    </w:p>
    <w:p>
      <w:r>
        <w:t>In der Rechtsmitteleingabe beanstandet der Beschwerdeführer die grundsätzliche Zuständigkeit Spaniens nicht. Er macht indes geltend, er fühle sich wegen der traumatischen Erlebnisse im Heimatland und auf der Reise psychisch nicht in der Lage, in ein anderes Land zu gehen; er wolle in der Schweiz bleiben. In Spanien würden viele Afrikaner auf der Strasse leben und betteln. Er fürchte sich davor. Sodann würde er sich gerne psychologisch untersuchen lassen.</w:t>
      </w:r>
    </w:p>
    <w:p>
      <w:r>
        <w:rPr>
          <w:b/>
        </w:rPr>
        <w:t>E. 4.1</w:t>
      </w:r>
    </w:p>
    <w:p>
      <w:r>
        <w:t>Gemäss seinen eigenen Angaben hat der Beschwerdeführer auf dem Seeweg von Marokko kommend zuerst den Dublin-Mitgliedstaat Spanien, erreicht, dies ohne gültigen Einreisetitel und somit illegal. In Spanien wurde er daktyloskopisch erfasst. Von Spanien aus reiste er in die Schweiz weiter. Bei dieser Sachlage ist gemäss Art. 13 Abs. 1 Dublin-III-VO Spanien für die Prüfung des Asylantrages zuständig. Dabei verlangt die vorgenannte Bestimmung nicht, dass der Betroffene im zuerst erreichten Dublin-Mitgliedstaat ein Asylgesuch eingereicht hat, denn für die Annahme der Zuständigkeit genügen Kriterien, wie eine illegale Einreise.</w:t>
      </w:r>
    </w:p>
    <w:p>
      <w:r>
        <w:rPr>
          <w:b/>
        </w:rPr>
        <w:t>E. 4.2</w:t>
      </w:r>
    </w:p>
    <w:p>
      <w:r>
        <w:t>Spanien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Hinweise dafür, dass sich das Land im konkreten Fall nicht an die daraus resultierenden Verpflichtungen halten würde.</w:t>
      </w:r>
    </w:p>
    <w:p>
      <w:r>
        <w:rPr>
          <w:b/>
        </w:rPr>
        <w:t>E. 4.3</w:t>
      </w:r>
    </w:p>
    <w:p>
      <w:r>
        <w:t>Es obliegt dem Beschwerdeführer, diese vorstehenden Vermutungen umzustossen. Dabei hat er ernsthafte Anhaltspunkte vorzubringen, dass die spanischen Behörden in seinem Fall das Völkerrecht verletzen und ihm nicht den notwendigen Schutz gewähren oder ihn menschenunwürdigen Lebensumständen aussetzen würden, mithin in seinem Fall Art. 3 EMRK oder eine andere völkerrechtliche Verpflichtung verletzt ist (vgl. Europäischer Gerichtshof für Menschenrechte [EGMR], M.S.S. gegen Belgien und Griechenland [Appl. No. 30696/09], Urteil vom 21. Januar 2011, § 84 f. und 250; ebenso Urteil des Gerichtshofes der Europäischen Union [EuGH] vom 21. Dezember 2011 in der Rechtssache C-411/10 und C-493). Solches macht er in der Rechtsmitteleingabe offensichtlich nicht geltend und ist aufgrund der Akten auch nicht ersichtlich.</w:t>
      </w:r>
    </w:p>
    <w:p>
      <w:r>
        <w:rPr>
          <w:b/>
        </w:rPr>
        <w:t>E. 4.4</w:t>
      </w:r>
    </w:p>
    <w:p>
      <w:r>
        <w:t>In Fortführung der bisherigen Praxis des Bundesverwaltungsgerichts ist somit von der Vermutung auszugehen, dass Spanien die Gebote des flüchtlingsrechtlichen und des menschenrechtlichen Rückschiebeverbots beachtet. Bei einer Überstellung ist weiter davon auszugehen, dass Spanien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anerkennt und schützt.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Dublin-III-Verordnung, Wien 2014, Art. 17 K5 S. 159). Dies ist vorliegend nicht der Fall.</w:t>
      </w:r>
    </w:p>
    <w:p>
      <w:r>
        <w:rPr>
          <w:b/>
        </w:rPr>
        <w:t>E. 4.5</w:t>
      </w:r>
    </w:p>
    <w:p>
      <w:r>
        <w:t>Was die geltend gemachten psychischen Probleme und Schmerzen des Beschwerdeführers betrifft, so ist festzustellen, dass diese einer Überstellung nicht entgegenstehen. Eine zwangsweise Rückweisung von Personen mit gesundheitlichen Problemen kann nämlich nur dann einen Verstoss gegen Art. 3 EMRK darstellen, wenn die betroffene Person sich in einem fortgeschrittenen oder terminalen Krankheitsstadium und bereits in Todesnähe befindet (vgl. BVGE 2011/9 E. 7.1 mit Hinweisen auf die Praxis des EGMR), was vorliegend zu verneinen ist. Weiter hat der EGMR in einem jüngeren Urteil A.S. gegen die Schweiz (vgl. Beschwerde-Nr. 39350/13, Urteil vom 30. Juni 2015, §§ 35 ff.) die bisherige Auffassung implizite bestätigt, dass ein junger Mann, der unter einer posttraumatischen Belastungsstörung leidet, nicht als schwer krank im Sinne der bisherigen Rechtsprechung gilt. Sodann muss Spanien als EU-Mitgliedstaat Antragstellenden die erforderliche medizinische Versorgung, die zumindest die Notversorgung und die unbedingt erforderliche Behandlung von Krankheiten und schweren psychischen Störungen umfasst, zugänglich machen (vgl. Art. 19 Abs. 1 Aufnahmerichtlinie), und Antragstellern mit besonderen Bedürfnissen die erforderliche Hilfe gewähren (vgl. Art. 19 Abs. 2 Aufnahmerichtlinie). Spanien verfügt insoweit über eine ausreichende medizinische Infrastruktur. Beim Beschwerdeführer handelt es sich zudem um einen mündigen Mann, welcher in der Beschwerde erstmals anführt, sich aus traumatischen Gründen psychisch nicht in der Lage zu fühlen, in ein anderes Land weiterzureisen (vgl. Beschwerde S. 2). Er hat im Rahmen seiner Mitwirkungspflicht kein ärztliches Zeugnis für sein aktuelles Befinden eingereicht, wozu ihm bisher hinreichend Zeit zur Verfügung gestanden wäre. Zudem steht seine Behauptung eines psychischen Unvermögens den bisherigen Angaben in der Befragung vom 7. März 2016 entgegen, wo er auf entsprechende Nachfrage hin psychische Beeinträchtigungen ausdrücklich verneinte (vgl. Akten SEM A6 S. 7). Vorliegend bestehen somit keine gesundheitlichen Umstände, die einer Überstellung nach Spanien entgegenstehen würden.</w:t>
      </w:r>
    </w:p>
    <w:p>
      <w:r>
        <w:rPr>
          <w:b/>
        </w:rPr>
        <w:t>E. 5</w:t>
      </w:r>
    </w:p>
    <w:p>
      <w:r>
        <w:t>Was schliesslich die Ermessensklausel von Art. 17 Abs. 1 Dublin-III-VO betrifft, so ist diese nicht direkt, sondern nur in Verbindung mit einer nationalen Norm (namentlich Art. 29a Abs. 3 AsylV1, Selbsteintritt aus humanitären Gründen) oder internationalem Recht anwendbar (vgl. BVGE 2010/45 E. 5). In diesem Zusammenhang kommt dem Bundesverwaltungsgericht jedoch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 Der Umstand, dass der Beschwerdeführer wünscht, in der Schweiz bleiben zu können, stellt keinen Grund für einen Selbsteintritt der Schweiz dar. Die Dublin-III-VO räumt dem Schutzsuchenden kein Recht ein, den seinen Antrag prüfenden Staat selber auszuwählen (vgl. BVGE 2010/45 E. 8.3).</w:t>
      </w:r>
    </w:p>
    <w:p>
      <w:r>
        <w:rPr>
          <w:b/>
        </w:rPr>
        <w:t>E. 6.1</w:t>
      </w:r>
    </w:p>
    <w:p>
      <w:r>
        <w:t>Spanien ist somit für die Durchführung des Asyl- und Wegweisungsverfahrens des Beschwerdeführers gemäss der Dublin-III-VO zuständig und entsprechend verpflichtet, ihn gemäss Art. 18 Abs. 1 Bst. b Dublin-III-VO aufzunehmen. Die Vorinstanz ist in Anwendung von Art. 31a Abs. 1 Bst. b AsylG zu Recht auf das Asylgesuch des Beschwerdeführers nicht eingetreten. Da er auch nicht im Besitz einer gültigen Aufenthalts- oder Niederlassungsbewilligung ist, hat die Vorinstanz in Anwendung von Art. 44 AsylG ebenfalls zu Recht die Überstellung nach Spanien angeordnet (vgl.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(vgl. BVGE 2010/45 E. 10 S. 645).</w:t>
      </w:r>
    </w:p>
    <w:p>
      <w:r>
        <w:rPr>
          <w:b/>
        </w:rPr>
        <w:t>E. 7</w:t>
      </w:r>
    </w:p>
    <w:p>
      <w:r>
        <w:t>Nach dem Gesagten ergibt sich, dass die angefochtene Verfügung Bundesrecht nicht verletzt und auch sonst nicht zu beanstanden ist (vgl. Art. 106 AsylG). Die Beschwerde ist abzuweisen. Mit dem vorliegenden Urteil sind die Anträge auf Wiederherstellung der aufschiebenden Wirkung und auf Anordnung vorsorglicher Massnahmen gegenstandslos geworden.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Mit dem 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