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E-2034/2013 vom 17. April 2013</w:t>
      </w:r>
    </w:p>
    <w:p>
      <w:r>
        <w:t>Bundesverwaltungsgericht, 2013-04-17, DE</w:t>
      </w:r>
    </w:p>
    <w:p>
      <w:r>
        <w:rPr>
          <w:b/>
        </w:rPr>
        <w:t xml:space="preserve">Quelle: </w:t>
      </w:r>
      <w:r>
        <w:t>https://mcp.opencaselaw.ch/entscheid/bvger_E-2034_2013</w:t>
      </w:r>
    </w:p>
    <w:p>
      <w:r>
        <w:t>FR: TAF E-2034/2013 du 17 avril 2013</w:t>
      </w:r>
    </w:p>
    <w:p>
      <w:r>
        <w:t>IT: TAF E-2034/2013 del 17 aprile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Die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begründet und ist im Verfahren einzelrichterlicher Zuständigkeit mit Zustimmung eines zweiten Richters (Art. 111 Bst. e AsylG) ohne Weiterungen und mit summarischer Begründung zu behandeln (Art. 111a Abs. 1 und Abs. 2 AsylG).</w:t>
      </w:r>
    </w:p>
    <w:p>
      <w:r>
        <w:rPr>
          <w:b/>
        </w:rPr>
        <w:t>E. 3.1</w:t>
      </w:r>
    </w:p>
    <w:p>
      <w:r>
        <w:t>Der Beschwerdeführer rügt, die Vorinstanz habe seinen Anspruch auf rechtliches Gehör verletzt. Sie habe ihre Verfügung erlassen, ohne vorgängig eine schriftliche oder mündliche Anhörung durchzuführen.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Bewiese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w:t>
      </w:r>
    </w:p>
    <w:p>
      <w:r>
        <w:rPr>
          <w:b/>
        </w:rPr>
        <w:t>E. 3.3</w:t>
      </w:r>
    </w:p>
    <w:p>
      <w:r>
        <w:t>Die Vorinstanz gibt ausdrücklich an, dem Beschwerdeführer kein rechtliches Gehört gewährt zu haben, obwohl sie mit Urteil des Bundesverwaltungsgerichts vom 27. Februar 2013 dazu aufgefordert wurde. Durch das Nichtgewähren des rechtlichen Gehörs hat sie Bundesrecht verletzt. Da die Verletzung des rechtlichen Gehörs formeller Natur ist, erübrigt es sich in der Sache Stellung zu nehmen.</w:t>
      </w:r>
    </w:p>
    <w:p>
      <w:r>
        <w:rPr>
          <w:b/>
        </w:rPr>
        <w:t>E. 3.4</w:t>
      </w:r>
    </w:p>
    <w:p>
      <w:r>
        <w:t>Die angefochtene Verfügung ist aufzuheben und die Sache zur neuen Beurteilung an die Vorinstanz zurückzuweisen ist. Nach der Rückweisung hat die Vorinstanz zu prüfen, ob der Wegweisungsvollzug innerhalb der Russischen Föderation zumutbar ist und hat dem Beschwerdeführer diesbezüglich das rechtliche Gehör zu gewähren. Der Beschwerdeführer seinerseits hat im Rahmen der Mitwirkungspflicht an der Sachverhaltsfeststellung aktiv mitzuwirken (Art. 8 Asyl; BVGE 2011/27, E. 4.2 S. 539), im Fall einer Befragung möglichst genaue Angaben zu machen und die objektive Beweislast zu tragen.</w:t>
      </w:r>
    </w:p>
    <w:p>
      <w:r>
        <w:rPr>
          <w:b/>
        </w:rPr>
        <w:t>E. 4</w:t>
      </w:r>
    </w:p>
    <w:p>
      <w:r>
        <w:t>Bei diesem Ausgang des Verfahrens sind keine Kosten zu erheben (Art. 63 Abs. 1 und 2 VwVG). Dem obsiegenden Beschwerdeführer ist in Anwendung von Art. 64 Abs. 1 VwVG und Art. 8 des Reglements vom 21. Februar 2008 über die Kosten und Entschädigungen vor dem Bundesverwaltungsgericht (VGKE, SR 173.320.2) eine Entschädigung für die notwendigerweise erwachsenen Parteikosten zuzusprechen. Der Rechtsvertreter hat keine Kostennote eingereicht. Aufgrund der Akten (Art. 14 Abs. 2 VGKE) ist die Parteientschädigung unter Berücksichtigung der massgeblichen Bemessungsfaktoren (vgl. Art. 8 ff. VGKE) auf Fr. 700.- (inkl. Auslagen und Mehrwertsteuer) festzusetzen. Die Vorinstanz ist in Anwendung von Art. 64 Abs. 2 VwVG anzuweisen, dem Beschwerdeführern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