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E-2031/2013 vom 18. April 2013</w:t>
      </w:r>
    </w:p>
    <w:p>
      <w:r>
        <w:t>Bundesverwaltungsgericht, 2013-04-18, DE</w:t>
      </w:r>
    </w:p>
    <w:p>
      <w:r>
        <w:rPr>
          <w:b/>
        </w:rPr>
        <w:t xml:space="preserve">Quelle: </w:t>
      </w:r>
      <w:r>
        <w:t>https://mcp.opencaselaw.ch/entscheid/bvger_E-2031_2013</w:t>
      </w:r>
    </w:p>
    <w:p>
      <w:r>
        <w:t>FR: TAF E-2031/2013 du 18 avril 2013</w:t>
      </w:r>
    </w:p>
    <w:p>
      <w:r>
        <w:t>IT: TAF E-2031/2013 del 18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stellt das Gericht fest, dass die Identität des Beschwerdeführers nicht feststeht, was erhebliche Zweifel an der Glaubhaftigkeit seiner Asylvorbringen aufkommen lässt. Weil es aber wie zuvor schon das Bundesamt zum Schluss gelangt, dass diese den Anforderungen an die Flüchtlingseigenschaft nicht zu genügen vermögen, erübrigt sich eine diesbezügliche Auseinandersetzung. Die Erwägungen der Vorinstanz, die marokkanischen Behörden handhabten die strafrechtliche Bestimmung, wonach homosexuelle Handlungen strafbar seien, pragmatisch, Homosexualität werde in Marokko geduldet und sichtbar gelebt, in Casablanca, Marrakesch, Tanger und in anderen Städten existierten Treffpunkte und Bars für Homosexuelle, zudem seien diese auch in hohen Staatsämtern respektive in privilegierten Gesellschaftsschichten vertreten, treffen zu. Auch den weiteren Einschätzungen des BFM, in Marokko werde niemand wegen seiner homosexuellen Neigungen verhaftet, homosexuelle Personen oder Paare riskierten nur dann eine Verhaftung, wenn sie im öffentlichen Raum intim würden oder durch provozierendes Verhalten Passanten und Nachbarn auf sich aufmerksam machten, und der Beschwerdeführer habe die Möglichkeit, in der Anonymität einer grösseren Stadt Wohnsitz zu nehmen, wo er bei einer diskreten Ausübung seiner Homosexualität keine Behelligungen seitens der Behörden oder privater Dritter zu gewärtigen habe, ist beizupflichten.</w:t>
      </w:r>
    </w:p>
    <w:p>
      <w:r>
        <w:rPr>
          <w:b/>
        </w:rPr>
        <w:t>E. 4.2</w:t>
      </w:r>
    </w:p>
    <w:p>
      <w:r>
        <w:t>Die Rechtsmitteleingabe ist nicht geeignet, an den Feststellungen des Bundesamtes etwas zu ändern; insbesondere erschöpft sie sich darin, die Authentizität der gesuchsbegründenden Aussagen zu bekräftigen, ohne in substanziierter und vollständiger Weise zu den Erwägungen in der angefochtenen Verfügung Stellung zu nehmen. Die Ausführungen zur angeblich starken Homophobie der marokkanischen Gesellschaft vermögen nicht zu überzeugen, zumal diese als stark überzeichnet zu erkennen sind.</w:t>
      </w:r>
    </w:p>
    <w:p>
      <w:r>
        <w:rPr>
          <w:b/>
        </w:rPr>
        <w:t>E. 4.3</w:t>
      </w:r>
    </w:p>
    <w:p>
      <w:r>
        <w:t>Dem Beschwerdeführer ist es nicht gelungen, eine Verfolgung glaubhaft zu machen, weshalb das BFM das Asylgesuch zu Recht abgelehnt hat.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An dieser Beurteilung vermag die nicht weiter substanziierte Behauptung der bevorstehenden Eheschliessung mit einer Schweizerin nichts zu ändern, zumal diese auch in Marokko stattfinden kann.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Zwar wird er sich aufgrund seiner Veranlagung in Marokko mit einer gewissen Ablehnung konfrontiert sehen, aber dieser Umstand genügt für sich allein nicht für die Annahme einer relevanten Gefährdungslage. Der Wegweisungsvollzug erweist sich bei dieser Sachlage als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Marokko kann nicht von einer Situation allgemeiner Gewalt oder von kriegerischen oder bürgerkriegsähnlichen Verhältnissen gesprochen werden. In den Akten finden sich auch keine konkreten Anhaltspunkte dafür, der Beschwerdeführer gerate bei einer Rückkehr aus individuellen Gründen in eine existenzbedrohende Situation, zumal er jung ist und mit (...) sowie (...) über ein familiäres Beziehungsnetz verfügt. Zudem wird ihm seine in Frankreich absolvierte Ausbildung zum (...) von Nutzen sein, und er darf wohl auch auf die Unterstützung seiner (...) rechnen. Hinsichtlich seines gesundheitlichen Problems (...) ist in Übereinstimmung mit der Vorinstanz festzuhalten, dass sich dieses nicht als derart gravierend erweist, als eine medizinische Notlage vorliegen würde, weil eine notwendige medizinische Behandlung im Heimatland nicht zur Verfügung stehen und die Rückkehr zu einer raschen und lebensgefährdenden Beeinträchtigung des Gesundheitszustandes führen würde. Zudem kann der weiteren Behandlung in der Schweiz (...) auf entsprechenden Antrag des Beschwerdeführers durch eine Verlängerung der Ausreisefrist Rechnung getragen werden. Damit erweist sich der Vollzug der Wegweisung auch als zumutbar.</w:t>
      </w:r>
    </w:p>
    <w:p>
      <w:r>
        <w:rPr>
          <w:b/>
        </w:rPr>
        <w:t>E. 6.4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Die Anträge auf Gewährung der unentgeltlichen Prozessführung und auf anwaltliche Rechtsverbeiständung (Art. 65 Abs. 1 und 2 VwVG) sind abzuweisen, da die Beschwerde als aussichtslos zu bezeichnen ist. Die weiteren prozessualen Anträge werden mit dem vorliegenden Direktentscheid in der Hauptsache gegenstandslos.</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