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E-2028/2024 vom 5. Juni 2024</w:t>
      </w:r>
    </w:p>
    <w:p>
      <w:r>
        <w:t>Bundesverwaltungsgericht, 2024-06-05, FR</w:t>
      </w:r>
    </w:p>
    <w:p>
      <w:r>
        <w:rPr>
          <w:b/>
        </w:rPr>
        <w:t xml:space="preserve">Quelle: </w:t>
      </w:r>
      <w:r>
        <w:t>https://mcp.opencaselaw.ch/entscheid/bvger_E-2028_2024</w:t>
      </w:r>
    </w:p>
    <w:p>
      <w:r>
        <w:t>FR: TAF E-2028/2024 du 5 juin 2024</w:t>
      </w:r>
    </w:p>
    <w:p>
      <w:r>
        <w:t>IT: TAF E-2028/2024 del 5 giugno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 présenté en outre dans la forme et le délai prescrits par la loi, le recours est recevable (art. 48 al.1 ainsi que 52 al. 1 PA et 108 al. 3 LAsi).</w:t>
      </w:r>
    </w:p>
    <w:p>
      <w:r>
        <w:rPr>
          <w:b/>
        </w:rPr>
        <w:t>E. 1.3</w:t>
      </w:r>
    </w:p>
    <w:p>
      <w:r>
        <w:t>Il est renoncé à un échange d'écritures (art. 111a al. 1 LAsi).</w:t>
      </w:r>
    </w:p>
    <w:p>
      <w:r>
        <w:rPr>
          <w:b/>
        </w:rPr>
        <w:t>E. 2</w:t>
      </w:r>
    </w:p>
    <w:p>
      <w:r>
        <w:t>Dans son arrêt du 19 juillet 2023 (E-3880/2023), le Tribunal a déjà eu l'occasion de constater que les points concernant la non-entrée en matière sur la demande d'asile ainsi que le prononcé du renvoi étaient entrés en force de chose décidée. Seule demeure dès lors litigieuse la question de l'exécution du renvoi, d'ailleurs l'unique point contesté par le recourant.</w:t>
      </w:r>
    </w:p>
    <w:p>
      <w:r>
        <w:rPr>
          <w:b/>
        </w:rPr>
        <w:t>E. 3.1</w:t>
      </w:r>
    </w:p>
    <w:p>
      <w:r>
        <w:t>Dans son mémoire de recours, l'intéressé fait d'abord grief au SEM d'avoir violé son devoir d'instruction. Il lui reproche en particulier de ne pas s'être conformé aux injonctions formulées par le Tribunal dans son arrêt du 19 juillet 2023, dans le sens où il se serait contenté d'inviter le recourant à lui fournir des informations médicales déjà existantes après six mois d'inaction et dans un délai extrêmement court.</w:t>
      </w:r>
    </w:p>
    <w:p>
      <w:r>
        <w:rPr>
          <w:b/>
        </w:rPr>
        <w:t>E. 3.2</w:t>
      </w:r>
    </w:p>
    <w:p>
      <w:r>
        <w:t>La procédure administrative est régie essentiellement par la maxime inquisitoire, selon laquelle il incombe à l'autorité administrative d'élucider l'état de fait de manière exacte et complète, celle-ci dirigeant la procédure et définissant les faits qu'elle considère comme pertinents ainsi que les preuves nécessaires, qu'elle ordonne et apprécie d'office (art. 12 PA ; cf. ATAF 2009/60 consid. 2.1.1).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renoncer à procéder à des mesures d'instruction, lorsque les preuves administrées lui ont permis de se forger sa conviction et que, procédant d'une manière non arbitraire à une appréciation anticipée des preuves qui lui sont encore proposées, elle a la certitude que ces dernières ne pourraient l'amener à modifier son point de vue (cf. ATF 140 I 285 consid. 6.3.1).</w:t>
      </w:r>
    </w:p>
    <w:p>
      <w:r>
        <w:rPr>
          <w:b/>
        </w:rPr>
        <w:t>E. 3.3</w:t>
      </w:r>
    </w:p>
    <w:p>
      <w:r>
        <w:t>En l'espèce, le SEM n'a commis aucune violation de son devoir d'instruction. Certes, il apparaît pour le moins strict de la part de l'autorité intimée d'avoir exigé du recourant qu'il établisse sa situation médicale complète dans un délai non-prolongeable de seulement quatre jours ouvrables, surtout après qu'elle soit elle-même demeurée inactive pendant six mois. Dans ce sens, la critique faite par la mandataire du recourant apparaît légitime. Toutefois, dans le cas particulier, le très court délai octroyé par l'autorité n'a pas été préjudiciable à l'intéressé. Représenté par une mandataire professionnelle tout au long de la procédure, il a en effet été en mesure de transmettre plusieurs pièces permettant d'établir sa situation médicale entre les mois d'août 2023 et de février 2024 et ce dans le bref délai imparti. Ces pièces, qui comportent des anamnèses, des diagnostics ainsi que des informations relatives aux traitements et mesures de suivi entrepris en Suisse, établissent l'état de fait médical à satisfaction de droit. L'intéressé n'explique d'ailleurs pas quelle autre mesure d'instruction aurait, selon lui, encore été nécessaire. Partant, on ne saurait retenir que le SEM n'a pas fait droit aux injonctions du Tribunal lui ordonnant d'établir de façon complète l'état de santé du recourant. La question de savoir si les troubles dont souffre le recourant constituent un obstacle à l'exécution de son renvoi en raison de la situation des personnes bénéficiant d'une protection en Grèce relève du fond et sera discutée ci-après (cf. consid. 6 et 7 infra).</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retenu que la Grèce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manquements dont il disait avoir fait l'objet.</w:t>
      </w:r>
    </w:p>
    <w:p>
      <w:r>
        <w:rPr>
          <w:b/>
        </w:rPr>
        <w:t>E. 5.5.3</w:t>
      </w:r>
    </w:p>
    <w:p>
      <w:r>
        <w:t>L'intéressé argue que ces bases légales ne sont dans la pratique pas mises en oeuvre en Grèce. Il rappelle n'avoir, pour sa part, bénéficier d'aucune aide, ni d'aucun encadrement de la part des autorités grecques débordées. Il n'aurait par ailleurs jamais été donné suite à sa demande d'aide auprès d'une association caritative. S'appuyant sur un rapport du Greek Council for Refugees daté du 6 juin 2016, il soutient qu'il ne pourra pas bénéficier d'un suivi psychologique répondant à ses besoins en cas de retour en Grèce et que, partant, l'exécution de son renvoi ne pourrait que conduire à une à déclin grave, rapide et irréversible de son état de santé.</w:t>
      </w:r>
    </w:p>
    <w:p>
      <w:r>
        <w:rPr>
          <w:b/>
        </w:rPr>
        <w:t>E. 5.5.4</w:t>
      </w:r>
    </w:p>
    <w:p>
      <w:r>
        <w:t>Le Tribunal ne méconnaît pas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La jurisprudence constante a été confirmée par le Tribunal dans son arrêt de référence E-3427/2021 et E 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E-1334/2022 du 27 février 2023 consid. 8.5 ; E-2244/2021 du 6 septembre 2022 consid. 6.6.4). Dans le cas particulier, le recourant ne démontre en rien avoir épuisé toutes les possibilités de faire valoir ses droits en Grèce. Comme mentionné précédemment, le Tribunal ne méconnait pas que les conditions socio-économiques dans ce pays sont difficiles. Cependant, il existe sur place des organisations d'aide, qui peuvent pour le moins servir d'intermédiaire pour les démarches administratives. Or, l'intéressé n'a pas apporté la preuve de démarches quelconques auprès de ces organismes, ni le fait que celles-ci seraient restées sans réponse. Le recourant n'établit ainsi pas qu'objectivement, selon toute probabilité, son retour en Grèce, pays qu'il connaît, le conduirait irrémédiablement à un dénuement complet, à la famine, et, ainsi, à une dégradation grave de son état de santé, à l'invalidité, voire à la mort (cf. ATAF 2014/26 consid. 7.5 ; 2009/52 consid. 10.1 ; 2007/10 consid. 5.1). Partant, les éléments du dossier ne laissent pas entrevoir de considérations humanitaires impérieuses militant contre le renvoi du recourant vers l'Etat de destination, au point que cette mesure constituerait un traitement contraire à l'art. 3 CEDH ou à l'art. 3 Conv. torture, combiné avec l'art. 16 Conv. torture, invoqués par l'intéressé dans son recours. S'agissant encore des allégations concernant l'agression sexuelle dont il aurait fait l'objet, le Tribunal estime que le recourant n'a pas établi qu'il aurait été démuni de toute protection de la part des autorités policières contre un tel comportement, s'il avait fait appel à celles-ci ou déposé une plainte (ce qu'il n'a jamais allégué avoir fait). Rien n'indique non plus que les autorités administratives et judiciaires grecques renoncent, de manière systématique ou ciblée s'agissant d'étrangers vivant sur leur territoire, à poursuivre de tels actes. Par ailleurs, il n'y a aucune raison de penser que le recourant risque d'être à nouveau confronté à ses agresseurs en cas de retour en Grèce. Si tel devait toutefois être le cas, l'intéressé pourrait s'adresser aux autorités grecques compétentes et obtenir une protection de leur part.</w:t>
      </w:r>
    </w:p>
    <w:p>
      <w:r>
        <w:rPr>
          <w:b/>
        </w:rPr>
        <w:t>E. 5.6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 D. c. Royaume-Uni du 2 mai 1997, requête no 30240/96,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dans ce sens aussi, arrêt de la Cour de Justice de l'Union européenne du 16 février 2017 en l'affaire C-578/16). Dans ce contexte, il sied de souligner qu'une péjoration de l'état psychique, parfois accompagnée d'un risque de suicide ("suicidalité"),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ATAF 2017 VI/7 consid. 6.4). Dans le cas particulier, le seuil de gravité au sens restrictif de la jurisprudence précitée n'est pas atteint, compte tenu des documents médicaux figurant au dossier (cf. également infra, consid. 6.4).</w:t>
      </w:r>
    </w:p>
    <w:p>
      <w:r>
        <w:rPr>
          <w:b/>
        </w:rPr>
        <w:t>E. 5.7</w:t>
      </w:r>
    </w:p>
    <w:p>
      <w:r>
        <w:t>S'agissant de la présence de la mère du recourant en Suisse, laquelle est au bénéficie d'un permis de séjour, force est de constater que le recourant n'a pas allégué, ni a fortiori démontré avoir une relation particulièrement étroite avec elle. Au contraire, il ressort du dossier que leur relation serait distante (cf. complément au recours du 17 avril 2024, p. 2). Il peut au surplus être renvoyé à la motivation de la décision du SEM sur ce point, qui n'est pas contestée par l'intéressé.</w:t>
      </w:r>
    </w:p>
    <w:p>
      <w:r>
        <w:rPr>
          <w:b/>
        </w:rPr>
        <w:t>E. 5.8</w:t>
      </w:r>
    </w:p>
    <w:p>
      <w:r>
        <w:t>Dans ces conditions, l'exécution du renvoi ne transgresse aucun engagement de la Suisse relevant du droit international, de sorte qu'elle s'avère licite (art. 83 al. 3 LEI).</w:t>
      </w:r>
    </w:p>
    <w:p>
      <w:r>
        <w:rPr>
          <w:b/>
        </w:rPr>
        <w:t>E. 6.1</w:t>
      </w:r>
    </w:p>
    <w:p>
      <w:r>
        <w:t>Le recourant invoque encore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6.4</w:t>
      </w:r>
    </w:p>
    <w:p>
      <w:r>
        <w:t>Il ressort des rapports médicaux versés au dossier que l'intéressé bénéficie depuis août 2023 d'un suivi psychiatrique et psychothérapeutique, actuellement hebdomadaire, en raison d'une symptomatologie anxio-dépressive et post-traumatique sévère. Selon le dernier rapport du 10 avril 2024, son état serait à mettre en lien avec les violences infligées en Grèce et les ruptures successives de liens d'attachement vécues durant son enfance. Les médecins expliquent en particulier que les troubles de l'attachement de l'intéressé ont été réactivés à son arrivée en Suisse en raison de ses retrouvailles avec sa mère, lesquelles se sont avérées être beaucoup moins chaleureuses que ce qu'il avait espéré. Relevant qu'une légère amélioration de sa symptomatologie avait pu être observée suite à son transfert dans un autre foyer début mars 2024, les médecins expliquent également que l'état de santé du recourant s'est ensuite fortement dégradé à la fin du mois de mars. Le fait de devoir imaginer un retour en Grèce l'ayant fortement déstabilisé, ses consultations, qui avaient pu être espacées (bimensuelles), avaient à nouveau dû être rapprochées (hebdomadaires). Le recourant présente depuis des idées suicidaires scénarisées (sauter par la fenêtre), les aspects anxiodépressifs sont plus marqués, la labilité émotionnelle est plus grande avec une forte irritabilité et nervosité, les troubles du sommeil s'étant accentués. Son traitement médicamenteux, composé d'un antidépresseur (Sertaline) et d'un hypnotique (Imovane), demeure inchangé.</w:t>
      </w:r>
    </w:p>
    <w:p>
      <w:r>
        <w:rPr>
          <w:b/>
        </w:rPr>
        <w:t>E. 6.4.1</w:t>
      </w:r>
    </w:p>
    <w:p>
      <w:r>
        <w:t>Les affections psychiques de l'intéressé, bien que sérieuses, ne revêtent pas l'intensité nécessaire pour pouvoir être qualifiées de graves au sens de la jurisprudence précitée. Ni le traitement ambulatoire entrepris ni la fréquence des consultations ne laissent en effet apparaître qu'il nécessiterait une thérapie lourde ou intensive, étant encore souligné que le dossier ne fait pas état d'un placement en milieu psychiatrique ou hospitalier en Suisse. En conséquence, il n'appartient pas à la catégorie des personnes souffrant de maladies graves, au sens de l'arrêt E-3427/2021 et E-3431/2021 précité, pour lesquelles l'exécution du renvoi n'est exigible qu'en présence de circonstances particulièrement favorables (cf. consid. 11.5.3). Le rapport médical du 10 avril 2024 mentionne certes un risque de décompensation, voire de passage à l'acte suicidaire, en cas de retour en Grèce compte tenu des événements traumatisants que le recourant dit avoir vécus dans ce pays (violences sexuelles). Toutefois, ce même rapport relève également que les symptômes post-traumatiques préexistants se sont détériorés depuis la fin du mois de mars 2024, soit au moment du prononcé de la décision négative du SEM (le 27 mars 2024). La dégradation de l'état de santé du recourant apparaît dès lors également liée, du moins en partie, à l'injonction qui lui a été faite de quitter la Suisse, réaction qui n'est pas en soi inhabituelle et à laquelle il peut être remédié autant que possible par une préparation au retour adéquate (cf. supra consid. 6.6). Cela dit, dans l'hypothèse où les tendances suicidaires de l'intéressé s'accentueraient dans le cadre de l'exécution forcée, les autorités devraient y remédier au moyen de mesures adéquates (cf. ATAF 2017 VI/7 consid. 6.4). En particulier, il appartiendra aux autorités d'exécution du renvoi de vérifier les éventuelles mesures d'accompagnement qu'impose l'état de santé du recourant de manière à prévenir, le cas échéant, toute menace auto-agressive.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(art. 2 let. b et g et 30 par. 1 Directive qualification) et qu'il n'est pas démontré qu'il ne pourra pas concrètement parvenir à surmonter les obstacles pratiques pour y avoir accès. A cet égard, il sied de rappeler que l'intéressé a apparemment déjà eu accès à des soins en Grèce. Suite à son agression, il a selon ses dires été hospitalisé pendant deux jours et reçu des soins pour ses affections physiques. En définitive, rien n'indique que le suivi psychiatrique et le traitement médicamenteux dont le recourant bénéficie actuellement en Suisse ne pourraient pas être poursuivis en Grèce. Il sera par ailleurs possible à l'intéressé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6.6</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 celui-ci ayant obtenu le statut de réfugié dans cet Etat.</w:t>
      </w:r>
    </w:p>
    <w:p>
      <w:r>
        <w:rPr>
          <w:b/>
        </w:rPr>
        <w:t>E. 8</w:t>
      </w:r>
    </w:p>
    <w:p>
      <w:r>
        <w:t>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w:t>
      </w:r>
    </w:p>
    <w:p>
      <w:r>
        <w:rPr>
          <w:b/>
        </w:rPr>
        <w:t>E. 9</w:t>
      </w:r>
    </w:p>
    <w:p>
      <w:r>
        <w:t>Dès lors que le Tribunal statue directement sur le fond, la requête préalable tendant à l'exemption du versement d'une avance de frais est sans objet.</w:t>
      </w:r>
    </w:p>
    <w:p>
      <w:r>
        <w:rPr>
          <w:b/>
        </w:rPr>
        <w:t>E. 10.1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Cependant, dès lors que les conclusions du recours n'apparaissaient pas d'emblée vouées à l'échec et que l'intéressé peut être considéré comme indigent, la demande d'assistance judiciaire partielle doit être admise (art. 65 al. 1 PA). Il est en conséquence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