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E-2024/2016 vom 5. April 2016</w:t>
      </w:r>
    </w:p>
    <w:p>
      <w:r>
        <w:t>Bundesverwaltungsgericht, 2016-04-05, DE</w:t>
      </w:r>
    </w:p>
    <w:p>
      <w:r>
        <w:rPr>
          <w:b/>
        </w:rPr>
        <w:t xml:space="preserve">Quelle: </w:t>
      </w:r>
      <w:r>
        <w:t>https://mcp.opencaselaw.ch/entscheid/bvger_E-2024_2016</w:t>
      </w:r>
    </w:p>
    <w:p>
      <w:r>
        <w:t>FR: TAF E-2024/2016 du 5 avril 2016</w:t>
      </w:r>
    </w:p>
    <w:p>
      <w:r>
        <w:t>IT: TAF E-2024/2016 del 5 aprile 2016</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2 AsylG und Art. 52 Abs. 1 VwVG).</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einen Nichteintretensentscheid ist die Beurteilungskompetenz der Beschwerdeinstanz grundsätzlich auf die Frage beschränkt, ob die Vorinstanz auf das Asylgesuch zu Recht nicht eingetreten ist (vgl. BVGE 2012/4 E. 2.2 m.w.H.).</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31a Abs. 1 Bst. b AsylG wird in der Regel auf Asylgesuche nicht eingetreten, wenn Asylsuchende in einen Drittstaat ausreisen können, der für die Durchführung des Asyl- und Wegweisungsverfahrens staatsvertraglich zuständig ist. Zur Bestimmung des staatsvertraglich zuständigen Staates prüft das SEM die Zuständigkeitskriterien nach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(Neufassung), ABl. L 180/31 vom 29. Juni 2013 (nachfolgend Dublin-III-VO). Führt diese Prüfung zur Feststellung, dass ein anderer Mitgliedstaat für die Prüfung des Asylgesuchs zuständig ist, tritt das SEM, nachdem der betreffende Mitgliedstaat einer Überstellung oder Rücküberstellung zugestimmt hat, auf das Asylgesuch grundsätzlich nicht ein.</w:t>
      </w:r>
    </w:p>
    <w:p>
      <w:r>
        <w:rPr>
          <w:b/>
        </w:rPr>
        <w:t>E. 3.2</w:t>
      </w:r>
    </w:p>
    <w:p>
      <w:r>
        <w:t>Die Schlussfolgerung der Vorinstanz ist weder in tatsächlicher noch in rechtlicher Hinsicht zu beanstanden. Die Beschwerde zeigt nicht auf, inwiefern die Vorinstanz Bundesrecht verletzt oder den Sachverhalt fehlerhaft festgestellt haben soll. Solches ist auch nicht zu erkennen. So verzichtet der Beschwerdeführer in der Rechtsmitteleingabe auf die Wiederholung seiner zuvor behaupteten und durch die Vorinstanz als unglaubhaft festgestellten Minderjährigkeit. Weiter bestätigt er seine Reiseroute über Kroatien, womit die Vorinstanz zu Recht die Zuständigkeit Kroatiens erkannt und die kroatischen Behörden - gestützt auf Art. 13 Abs. 1 Dublin-III-VO - um Übernahme ersucht hat. Dass Kroatien nicht ausdrücklich Stellung genommen hat, bleibt ohne Bedeutung. Bereits mit Fristablauf wird die Zustimmung fingiert. Kroatien ist somit verpflichtet, die Person aufzunehmen und angemessene Vorkehrungen für die Ankunft zu treffen (Art. 22 Abs. 7 Dublin-III-VO). Schliesslich bleiben die Vorbringen, Asylsuchende würden in Kroatien unmenschlich behandelt oder seien dort ohne Schutz vor einer Kettenabschiebung in Drittstaaten völlig pauschal und ohne konkrete Darlegung. Es sind dem Gericht keine wesentlichen Gründe bekannt für die Annahme, das Asylverfahren und die Aufnahmebedingungen für Antragsteller in Kroatien würden systemische Schwachstellen aufweisen, die eine Gefahr einer unmenschlichen oder entwürdigenden Behandlung im Sinne des Art. 4 der EU-Grundrechtecharta mit sich bringen könnten. So ist Kroatien Signatarstaat der EMRK, des Abkommens vom 28. Juli 1951 über die Rechtsstellung der Flüchtlinge (FK, SR 0.142.30) sowie des Übereinkommens vom 10. Dezember 1984 gegen Folter und andere grausame, unmenschliche oder erniedrigende Behandlung oder Strafe (FoK, SR 0.105) und es gibt keine konkreten Hinweise dafür, dass sich Kroatien nicht an die daraus resultierenden Verpflichtungen halten würde. Auch kann davon ausgegangen werden, dass Kroatien die Rechte anerkennt und schützt, die sich für Schutzsuchende aus den Richtlinien des Europäischen Parlaments und des Rats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Es liegen auch keine Anhaltspunkte vor, dass Kroatien seine staatsvertraglichen Verpflichtungen im vorliegenden Fall missachten würde und der Beschwerdeführer unter Verletzung der EMRK einer menschenunwürdigen oder erniedrigenden Behandlung ausgesetzt wäre, oder dass das flüchtlingsrechtliche Non-Refoulement-Gebot verletzt würde. Der Beschwerdeführer hat keine konkreten Hinweise für die Annahme dargetan, Kroatien würde die ihm gemäss Aufnahmerichtlinie zustehenden Lebensbedingungen dauerhaft vorenthalten (vgl. Urteil des BVGer D-1611/2015 vom 22. März 2016, E. 4.3). Nach dem Gesagten und weil es sich beim Beschwerdeführer um einen jungen und gesunden Menschen handelt (SEM-Dokument A7/14, S. 10) liegen auch keine Umstände vor, die einen - nach Ermessen zu beurteilenden - Selbsteintritt aus humanitären Gründen im Rahmen der Souveränitätsklausel (Art. 29a Abs. 3 Asylverordnung 1 [AsylV 1, SR 142.311] i.V.m. Art. 17 Abs. 1 Dublin-III-VO) rechtfertigten würden. Die Ermessensausübung der Vorinstanz stellt keine Rechtsverletzung dar. Die Vorinstanz ist zu Recht auf das Asylgesuch nicht eingetreten.</w:t>
      </w:r>
    </w:p>
    <w:p>
      <w:r>
        <w:rPr>
          <w:b/>
        </w:rPr>
        <w:t>E. 4</w:t>
      </w:r>
    </w:p>
    <w:p>
      <w:r>
        <w:t>Aus diesen Erwägungen ergibt sich, dass die angefochtene Verfügung Bundesrecht nicht verletzt und auch sonst nicht zu beanstanden ist (Art. 106 AsylG und Art. 49 VwVG). Die Beschwerde ist abzuweisen. Der Antrag auf Gewährung der aufschiebenden Wirkung ist mit vorliegendem Urteil gegenstandslos geworden.</w:t>
      </w:r>
    </w:p>
    <w:p>
      <w:r>
        <w:rPr>
          <w:b/>
        </w:rPr>
        <w:t>E. 5.1</w:t>
      </w:r>
    </w:p>
    <w:p>
      <w:r>
        <w:t>Der Beschwerdeführer beantragt die Gewährung der unentgeltlichen Rechtspflege gemäss Art. 65 Abs. 1 und 2 VwVG. Aufgrund der vorstehenden Erwägungen ergibt sich, dass seine Begehren als aussichtslos zu gelten haben. Damit ist eine der kumulativ zu erfüllenden Voraussetzungen nicht gegeben, weshalb das Gesuch - ungeachtet der prozessualen Bedürftigkeit - abzuweisen ist.</w:t>
      </w:r>
    </w:p>
    <w:p>
      <w:r>
        <w:rPr>
          <w:b/>
        </w:rPr>
        <w:t>E. 5.2</w:t>
      </w:r>
    </w:p>
    <w:p>
      <w:r>
        <w:t>Bei diesem Ausgang des Verfahrens sind die Kosten von Fr. 600.- (Art. 1-3 des Reglements vom 21. Februar 2008 über die Kosten und Entschädigungen vor dem Bundesverwaltungsgericht [VGKE], SR 173.320.2) dem Beschwerdeführer aufzuerlegen (Art. 63 Abs. 1 VwVG). 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