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E-2023/2010 vom 11. Juni 2010</w:t>
      </w:r>
    </w:p>
    <w:p>
      <w:r>
        <w:t>Bundesverwaltungsgericht, 2010-06-11, DE</w:t>
      </w:r>
    </w:p>
    <w:p>
      <w:r>
        <w:rPr>
          <w:b/>
        </w:rPr>
        <w:t xml:space="preserve">Quelle: </w:t>
      </w:r>
      <w:r>
        <w:t>https://mcp.opencaselaw.ch/entscheid/bvger_E-2023_2010</w:t>
      </w:r>
    </w:p>
    <w:p>
      <w:r>
        <w:t>FR: TAF E-2023/2010 du 11 juin 2010</w:t>
      </w:r>
    </w:p>
    <w:p>
      <w:r>
        <w:t>IT: TAF E-2023/2010 del 11 giugno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oder die Unangemessenheit gerügt werden (Art. 106 Abs. 1 AsylG).</w:t>
      </w:r>
    </w:p>
    <w:p>
      <w:r>
        <w:rPr>
          <w:b/>
        </w:rPr>
        <w:t>E. 3</w:t>
      </w:r>
    </w:p>
    <w:p>
      <w:r>
        <w:t>Das BFM hat sich beim angefochtenen Nichteintretensentscheid auf Art. 32 Abs. 2 Bst. a AsylG gestützt. Bei Beschwerden gegen Nichteintretensentscheide ist die Beurteilungszuständigkeit der Beschwerdeinstanz grundsätzlich auf die Überprüfung der Frage beschränkt, ob die Vorinstanz zu Recht auf das Asylgesuch nicht eingetreten ist. Bei Begründetheit des Beschwerde ist die angefochtene Verfügung aufzuheben und die Sache zu neuer Entscheidung an die Vorinstanz zurückzuweisen (vgl. EMARK 2004 Nr. 34 E. 2.1 S. 240).</w:t>
      </w:r>
    </w:p>
    <w:p>
      <w:r>
        <w:rPr>
          <w:b/>
        </w:rPr>
        <w:t>E. 4</w:t>
      </w:r>
    </w:p>
    <w:p>
      <w:r>
        <w:t>Der Beschwerdeführer gab bei seiner Befragung im Empfangs- und Verfahrenszentrum B._______ an, er sei im Jahre 1994 (bzw. Ende 1993) geboren. Somit wäre der Beschwerdeführer auch im Zeitpunkt des vorliegenden Beschwerdeentscheides noch minderjährig. Die Vorinstanz ging demgegenüber im Rahmen einer vorfrageweisen Prüfung davon aus, die behauptete Minderjährigkeit sei nicht glaubhaft gemacht worden, wozu dem Beschwerdeführer das rechtliche Gehör gewährt worden ist. Im weiteren Verlauf des Verfahrens ging die Vorinstanz von der Volljährigkeit des Beschwerdeführers aus. Namentlich wurde ihm für die Dauer des Asylverfahrens, auch für die ausführliche Anhörung zu den Asylgründen am 2. März 2010, keine Vertrauensperson beigeordnet, und in der angefochtenen Verfügung wird die Frage des Wegweisungsvollzugs im Hinblick auf eine volljährige Person geprüft.</w:t>
      </w:r>
    </w:p>
    <w:p>
      <w:r>
        <w:rPr>
          <w:b/>
        </w:rPr>
        <w:t>E. 5.1</w:t>
      </w:r>
    </w:p>
    <w:p>
      <w:r>
        <w:t>Ist einem unbegleiteten minderjährigen Asylsuchenden kein Vormund oder Beistand ernannt worden und sind entsprechende vormundschaftliche Massnahmen seitens der zuständigen kantonalen Behörden auch nicht innert vernünftiger Frist zu erwarten, so ist der urteilsfähigen, unbegleiteten und nicht vertretenen minderjährigen Person für die Dauer des Asylverfahrens eine rechtskundige Vertrauensperson beizuordnen, bevor die erste Anhörung zu den Asylgründen durchgeführt wird (vgl. Art. 17 Abs. 3 AsylG; Art. 7 Abs. 3 und 5 AsylV 1).</w:t>
      </w:r>
    </w:p>
    <w:p>
      <w:r>
        <w:rPr>
          <w:b/>
        </w:rPr>
        <w:t>E. 5.2</w:t>
      </w:r>
    </w:p>
    <w:p>
      <w:r>
        <w:t>Es ist grundsätzlich zulässig, dass die Vorinstanz vorfrageweise über die Frage der Glaubhaftigkeit einer geltend gemachten Minderjährigkeit befindet, wenn Zweifel an den Altersangaben der asylsuchenden Person bestehen, und gegebenenfalls das Verfahren, wenn die behauptete Minderjährigkeit nicht glaubhaft wird, ohne Einhaltung der speziellen Verfahrensvorschriften zugunsten unbegleiteter minderjähriger Asylsuchender durchführt (vgl. EMARK 2004 Nr. 30). Mit Bezug auf das Beweismass, dem Altersangaben zu genügen haben, ist von der allgemeinen Regel von Art. 7 AsylG auszugehen, das heisst, die behauptete Minderjährigkeit muss zumindest glaubhaft erscheinen. Die Glaubhaftmachung des behaupteten minderjährigen Alters ist im Rahmen einer Gesamtwürdigung in einer Abwägung sämtlicher Anhaltspunkte, welche für oder gegen die Richtigkeit der betreffenden Altersangaben sprechen, vorzunehmen; dabei gilt der Grundsatz der freien Beweiswürdigung (vgl. EMARK 2004 Nr. 30, E. 5.3.3 und 5.3.4 S. 209 f., mit weiteren Hinweisen).</w:t>
      </w:r>
    </w:p>
    <w:p>
      <w:r>
        <w:rPr>
          <w:b/>
        </w:rPr>
        <w:t>E. 5.3</w:t>
      </w:r>
    </w:p>
    <w:p>
      <w:r>
        <w:t>Ergibt sich freilich nachträglich, dass die Vorinstanz zu Unrecht von der Unglaubhaftigkeit der behaupteten Minderjährigkeit ausgegangen und den Betreffenden zu Unrecht als volljährigen Asylsuchenden behandelt hat, wird mithin nachträglich im Beschwerdeverfahren festgestellt, dass die Altersangaben der betreffenden Person und damit die von ihr geltend gemachte Minderjährigkeit als glaubhaft zu erachten sind, ihr aber vor der Anhörung zu den Asylgründen keine Vertrauensperson beigeordnet worden ist, hat dies die Kassation des vorinstanzlichen Entscheids wegen Verletzung des Anspruchs auf rechtliches Gehör und die Rückweisung der Sache an die Vorinstanz zur Folge (EMARK 2004 Nr. 30 E. 6.4.5 S. 214, mit weiteren Hinweisen).</w:t>
      </w:r>
    </w:p>
    <w:p>
      <w:r>
        <w:rPr>
          <w:b/>
        </w:rPr>
        <w:t>E. 6.1</w:t>
      </w:r>
    </w:p>
    <w:p>
      <w:r>
        <w:t>In erster Linie werden bei der Feststellung der Glaubhaftigkeit der Minderjährigkeit eines Asylsuchenden die eingereichten Identitätsdokumente gewürdigt. Der Beschwerdeführer reichte eine Tazkara zu den Akten, die ihm per DHL-Kurier aus Pakistan, seinen Angaben gemäss von seinem Onkel, zugestellt worden ist; die Tazkara ist den darin enthaltenen Angaben zufolge am (...) in Kabul ausgestellt worden und hält in der Rubrik "Geburtsdatum" fest: "Im Jahr 1388 (2009) scheint 15-jährig zu sein". Das BFM mass dieser Tazkara keinen Beweiswert zu, bezeichnete sie aufgrund diverser Unstimmigkeiten als Fälschung und verfügte die Einziehung, ohne indessen eine Dokumentenanalyse durchzuführen und konkrete Fälschungsmerkmale zu nennen. Das BFM ging davon aus, eine Dokumentenanalyse erübrige sich, da es sich bei afghanischen Dokumenten auch um Blanko- oder bloss gefälligkeitshalber ausgestellte Dokumente handeln könne. Der Beschwerdeführer macht hierbei geltend, gemäss Urteil des Bundesverwaltungsgerichtes vom 5. Februar 2009 (D-4472/2008) müssten bei der Prüfung einer Tazkara nicht lediglich die schweizerischen Bedingungen, sondern immer auch die des Ausstellungslandes berücksichtigt werden. Nur wenn die eingereichte Identitätskarte den afghanischen Qualitätsstandards nicht entspreche, dürfe daraus der Schluss gezogen werden, das Dokument sei gefälscht. In der Tat befasst sich der genannte Entscheid des Bundesverwaltungsgerichtes mit einer sehr ähnlichen Fallkonstellation. Darin wird der durch das BFM gefällte Nichteintretensentscheid (Art. 32 Abs. 2 Bst. a AsylG), aufgrund fehlender Sachverhaltsabklärungen bezogen auf die eingereichte Tazkara, aufgehoben und die Sache an die Vorinstanz zurückgewiesen. Die in jenem Beschwerdeverfahren eingereichte Tazkara erfülle zwar das in BVGE 2007/7 festgesetzte Kriterium, wonach Identitätspapiere "praktisch fälschungssicher" sein müssten, nicht, dieses Kriterium sei jedoch immer auch bezogen auf die Sicherheitsstandards im Heimatland zu betrachten. Zwar könne angesichts des Mangels an Sicherheitsmerkmalen davon ausgegangen werden, dass diese auch nach afghanischen Bestimmungen nicht als fälschungssicher zu qualifizieren wäre, mit hinreichender Sicherheit könne dies jedoch nicht festgestellt werden. Es bestehe somit ein gewisser Klärungsbedarf und es könne nicht der Schluss gezogen werden, es handle sich mangels Sicherheitsmerkmalen nicht um ein Identitätspapier im Sinne der erwähnten Praxis. Das BFM wäre somit verpflichtet gewesen, die unklar gebliebenen Fragen hinsichtlich der afghanischen Identitätskarten zu klären und die betreffenden Informationen bei den afghanischen Behörden einzuholen. Auch im vorliegenden Fall muss also ohne eingehende Prüfung der Tazkara davon ausgegangen werden, dass dem eingereichten Identitätsdokument immerhin ein gewisser Beweiswert zukommt; zumindest darf diese nicht ohne genauere Betrachtung als Fälschung deklariert werden. Zwar ergeben sich, bezogen auf die eingereichte Tazkara, wie in der Verfügung des BFM festgestellt, in der Tat einige Unklarheiten. Zu erwähnen ist beispielsweise, dass sich der Beschwerdeführer nach eigenen Angaben zum Zeitpunkt der Ausstellung der Tazkara bereits ausserhalb Afghanistans befunden hätte. Dennoch kann nach bundesverwaltungsgerichtlicher Rechtsprechung nicht ohne Prüfung der eingereichten Identitätskarte davon ausgegangen werden, diese sei gefälscht. Was die widersprüchlichen Angaben des Beschwerdeführers in diesem Zusammenhang betrifft, ist festzuhalten, dass diese in einer Anhörung ohne Vertrauensperson zu Protokoll gegeben wurden; das gesamte unsubstanziierte und unstimmige Aussageverhalten des Beschwerdeführers im Rahmen dieser Befragung könnte durchaus ein Zeichen der offensichtlich auch durch die Lehrpersonen festgestellten Unreife des Beschwerdeführers sein, der sich möglicherweise der Tragweite des Verfahrensschrittes nicht vollständig bewusst war. Sinn und Zweck der Beiordnung einer Vertrauensperson bei minderjährigen Beschwerdeführern ist es gerade auch, dem Jugendlichen die Wichtigkeit und Bedeutung der Anhörung begreiflich zu machen (vgl. EMARK 2006 Nr. 14 E. 6.4 S. 155; EMARK 2003 Nr. 1 E. 3.e.bb S. 8 f.).</w:t>
      </w:r>
    </w:p>
    <w:p>
      <w:r>
        <w:rPr>
          <w:b/>
        </w:rPr>
        <w:t>E. 6.2</w:t>
      </w:r>
    </w:p>
    <w:p>
      <w:r>
        <w:t>Liegen keine schlüssigen Identitätsdokumente vor, fallen als Beweismittel zudem Abklärungsergebnisse in Betracht, welche auf "wissenschaftlichen Methoden" im Sinne von Art. 7 Abs. 1 AsylV 1 beruhen. In der Praxis handelt es sich dabei meist um sogenannte Knochenaltersanalysen. Dabei muss festgestellt werden, dass derartigen Abklärungsergebnissen nur äusserst beschränkter Beweiswert zukommt. Nach der Praxis der ARK - die das Bundesverwaltungsgericht weiterführt - vermag eine Knochenaltersanalyse lediglich als Beweismittel zu dienen, wenn die Differenz zwischen dem angegebenen Alter und dem des Abklärungsresultates eine Abweichung (doppelte Standardabweichung) von drei Jahren übersteigt (EMARK 2001 Nr. 23). Auch damit kann jedoch lediglich bewiesen werden, dass der Beschwerdeführer betreffend sein Alter getäuscht hat; bezogen auf das tatsächliche Alter sind hingegen keine wissenschaftlich zuverlässigen Aussagen möglich. Dies ist selbst dann der Fall, wenn das ermittelte Knochenalter über 19 Jahren liegt und somit feststeht, dass der Beschwerdeführer ausgewachsen ist (vgl. EMARK 2001 Nr. 23 E. 4 S. 186; EMARK 2000 Nr. 19, E. 7c S. 187). Immerhin wäre dies jedoch ein (schwaches) Indiz für eine Volljährigkeit des Beschwerdeführers. Bei einem ermittelten Skelettalter von 18 Jahren und weniger kann zumindest festgestellt werden, dass sich der Beschwerdeführer noch im Wachstum befindet. Im vorliegenden Fall wurde, bei einer durch das Spital C._______ vorgenommenen Abklärung, ein Skelettalter von 18 Jahren festgestellt. Dabei wurde darauf hingewiesen, dass bei einem angegebenen Alter von 15 Jahren mit einer doppelten Standardabweichung von +/-28,4 Monaten zu rechnen sei. Die Differenz zwischen dem angegebenen und dem ermittelten Alter beträgt im Falle des Beschwerdeführers weniger als drei Jahre und die Aussagen des Beschwerdeführers stimmen demnach, gemäss ARK-Praxis, durchaus noch mit dem Abklärungsresultat im Rahmen einer möglichen Normalabweichung überein. Auch die durch das Spital C._______ angegebene doppelte Standardabweichung von +/- 28,4 Monaten liegt noch im Bereich des Möglichen, sofern man davon ausgeht, der Beschwerdeführer sei Anfang des Jahres 1994 geboren und demnach bei der Knochenaltersuntersuchung im September 2009 15 Jahre 7 Monate alt gewesen. Die Knochenaltersanalyse vermag folglich die Angaben des Beschwerdeführers bezüglich seines Geburtsjahres nicht zu widerlegen.</w:t>
      </w:r>
    </w:p>
    <w:p>
      <w:r>
        <w:rPr>
          <w:b/>
        </w:rPr>
        <w:t>E. 6.3</w:t>
      </w:r>
    </w:p>
    <w:p>
      <w:r>
        <w:t>Gewisse Rückschlüsse können allenfalls auch aufgrund des äusseren Erscheinungsbild möglich sein (Art. 12 Bst. d VwVG). Im vorliegenden Verfahren wurde der Beschwerdeführer vom BFM als volljährig eingeschätzt. Dies steht freilich im Gegensatz zur Einschätzung der Hilfswerksvertreterin der E._______, die bei der Anhörung vom 2. März 2010 vermerkte, der Beschwerdeführer sei ihrer Meinung nach, "seinem äusseren Erscheinungsbild nach, nicht volljährig" (vgl. A32 S. 20). Allgemein lässt das Erscheinungsbild eines Beschwerdeführers nur grobe Schätzungen zu; für die Alterskategorie von Jugendlichen zwischen 15 und 25 Jahren, also auch im Falle des Beschwerdeführers, kommt dem Augenschein kaum praktische Bedeutung zu, da in diesem Alter eine Schätzung extrem schwierig ist (vgl. EMARK 2004 Nr. 30 E. 6.3 S. 211).</w:t>
      </w:r>
    </w:p>
    <w:p>
      <w:r>
        <w:rPr>
          <w:b/>
        </w:rPr>
        <w:t>E. 6.4</w:t>
      </w:r>
    </w:p>
    <w:p>
      <w:r>
        <w:t>Bei der Prüfung des Alters werden zudem die Aussagen des Beschwerdeführers gewertet. Diese waren, wie das BFM feststellte, in der Tat widersprüchlich und blieben in weiten Zügen unsubstanziiert. Sowohl bezogen auf den Tod seiner Eltern wie auch auf seinen Aufenthalt in Afghanistan beziehungsweise Pakistan machte der Beschwerdeführer ungereimte Angaben. Auch vermag seine Aussage, er könne sich aufgrund des traumatischen Aufenthaltes in Griechenland an fast nichts mehr erinnern, nicht zu überzeugen, zumal er bei der Erstbefragung, welche ebenfalls nach seinem Aufenthalt in Griechenland stattfand, zumindest noch die Eckdaten seiner Geschichte anzugeben vermochte. Auch hierbei kann dem Beschwerdeführer jedoch zugute gehalten werden, dass seine Unreife, die denn auch das Betreuungspersonal des Durchgangszentrums festgestellt hat, durchaus dazu hätte führen können, dass er sich der Ernsthaftigkeit und Wichtigkeit der Befragung nicht genügend bewusst war; auf die Aufgaben, die in diesem Zusammenhang eben gerade einer Vertrauensperson des unbegleiteten minderjährigen Asylsuchenden zukommen, wurde oben hingewiesen (vgl. oben, E. 6.1).</w:t>
      </w:r>
    </w:p>
    <w:p>
      <w:r>
        <w:rPr>
          <w:b/>
        </w:rPr>
        <w:t>E. 6.5</w:t>
      </w:r>
    </w:p>
    <w:p>
      <w:r>
        <w:t>Festzuhalten ist schliesslich, dass der Beschwerdeführer im Strafverfahren betreffend illegale Einreise offenbar als Minderjähriger behandelt und sein Alter dort nicht in Zweifel gezogen worden ist; die Strafsache wurde durch die Jugendanwaltschaft behandelt (vgl. A27). Sodann wurde das Verhalten des Beschwerdeführers sowohl durch den Lehrer wie auch durch die Betreuungsperson im Durchgangszentrum als dasjenige eines Minderjährigen eingestuft (vgl. A28). Dies kann angesichts dessen, dass die bezeichneten Betreuungspersonen intensiv und über einen längeren Zeitraum mit dem Beschwerdeführer Kontakt hatten, nicht unbeachtet bleiben. Schliesslich geht aus der Aktennotiz des BFM vom 4. Dezember 2009 (A 28) hervor, dass offenbar selbst das BFM die Volljährigkeit des Beschwerdeführers nicht als gesichert erachtet, da es aufgrund des unbestimmbaren Alters auf eine Dublin-Überstellung nach Griechenland verzichtete.</w:t>
      </w:r>
    </w:p>
    <w:p>
      <w:r>
        <w:rPr>
          <w:b/>
        </w:rPr>
        <w:t>E. 6.6</w:t>
      </w:r>
    </w:p>
    <w:p>
      <w:r>
        <w:t>Zusammenfassend ergibt sich, dass sich nach Abwägung sämtlicher Anhaltspunkte die Einschätzung des BFM nicht bestätigen lässt, die Minderjährigkeit des Beschwerdeführers müsse als unglaubhaft gelten. Nach dem Gesagten hat die Vorinstanz den Beschwerdeführer zu Unrecht als volljährig betrachtet und zu Unrecht darauf verzichtet, ihm für das Verfahren eine rechtskundige Vertrauensperson beizugeben. Die angefochtenen Verfügung ist demnach unter Verletzung der für unbegleitete minderjährige Asylsuchende zu beachtenden Verfahrensvorschriften ergangen und aus diesem Grund aufzuheben. Das Verfahren ist an die Vorinstanz zurückzuweisen, und das BFM wird aufgefordert, dem Beschwerdeführer eine Vertrauensperson beizuordnen und das Verfahren unter Wahrung der für unbegleitete Minderjährige geltenden Verfahrensvorschriften weiterzuführen.</w:t>
      </w:r>
    </w:p>
    <w:p>
      <w:r>
        <w:rPr>
          <w:b/>
        </w:rPr>
        <w:t>E. 7</w:t>
      </w:r>
    </w:p>
    <w:p>
      <w:r>
        <w:t>Der Vollständigkeit halber wird an dieser Stelle erneut festgehalten, dass die Tatsache allein, dass afghanische Identitätskarten leicht gefälscht, beziehungsweise leicht käuflich erworben werden können, nicht grundsätzlich den Schluss zulässt, ein solcher Identitätsausweis sei gefälscht. Auch wenn sich, wie oben dargelegt, tatsächlich gewisse Ungereimtheiten aus den Aussagen des Beschwerdeführers ergeben, ändert dies nichts an der Tatsache, dass die Tazkara nicht erwiesenermassen gefälscht ist. Wie im Bundesverwaltungsgerichtsurteil vom 5. Februar 2009 (D-4472/2008) festgehalten wurde, müssen Reise- und Identitätspapiere die Identität des Inhabers und dessen Staatsangehörigkeit fälschungssicher und zweifelsfrei belegen sowie den Vollzug der Wegweisung sicherstellen. Jedoch sind dabei nicht nur die schweizerischen Bedingungen zur Festlegung der Fälschungssicherheit, sondern immer auch die Bedingungen des ausstellenden Staates zu berücksichtigen. Nur wenn die Identitätskarte auch den afghanischen Qualitätsstandards nicht entspricht und die Massstäbe, welche Afghanistan an die Fälschungssicherheit von Identitätskarten bestimmt, nicht erfüllt, darf der Schluss gezogen werden, das Dokument genüge den Anforderungen an die Fälschungssicherheit nicht (BVGE 2007/7 E. 5.1.3 S. 67, Urteil des Bundesverwaltungsgerichtes D-4472/2007 vom 5. Februar 2009). Es kann also ohne Prüfung der eingereichten Tazkara nicht davon ausgegangen werden, diese sei gefälscht.</w:t>
      </w:r>
    </w:p>
    <w:p>
      <w:r>
        <w:rPr>
          <w:b/>
        </w:rPr>
        <w:t>E. 8</w:t>
      </w:r>
    </w:p>
    <w:p>
      <w:r>
        <w:t>Bei diesem Ausgang des Verfahrens sind keine Kosten aufzuerlegen, weshalb das Gesuch um Gewährung der unentgeltlichen Prozessführung nach Art. 65 Abs. 1 VwVG gegenstandslos wird.</w:t>
      </w:r>
    </w:p>
    <w:p>
      <w:r>
        <w:rPr>
          <w:b/>
        </w:rPr>
        <w:t>E. 9</w:t>
      </w:r>
    </w:p>
    <w:p>
      <w:r>
        <w:t>Dem Beschwerdeführer ist angesichts des Obsiegens im Beschwerdeverfahren in Anwendung von Art. 64 Abs. 1 VwVG eine Parteientschädigung für die ihm erwachsenen notwendigen Vertretungskosten zuzusprechen (vgl. Art. 7 des Reglements vom 21. Februar 2008 über die Kosten und Entschädigungen vor dem Bundesverwaltungsgericht [VGKE, SR 173.320.2]). Die vom Rechtsvertreter des Beschwerdeführers eingereichte Kostennote vom 21. Mai 2010 erscheint angemessen; die Parteientschädigung wird somit auf Fr. 1'090.--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