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E-2020/2010 vom 12. Mai 2010</w:t>
      </w:r>
    </w:p>
    <w:p>
      <w:r>
        <w:t>Bundesverwaltungsgericht, 2010-05-12, DE</w:t>
      </w:r>
    </w:p>
    <w:p>
      <w:r>
        <w:rPr>
          <w:b/>
        </w:rPr>
        <w:t xml:space="preserve">Quelle: </w:t>
      </w:r>
      <w:r>
        <w:t>https://mcp.opencaselaw.ch/entscheid/bvger_E-2020_2010</w:t>
      </w:r>
    </w:p>
    <w:p>
      <w:r>
        <w:t>FR: TAF E-2020/2010 du 12 mai 2010</w:t>
      </w:r>
    </w:p>
    <w:p>
      <w:r>
        <w:t>IT: TAF E-2020/2010 del 12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allgemeiner Rechtsprechung ist eine Verfügung dann nichtig, wenn ihr ein besonders schwerer und offensichtlicher oder zumindest leicht erkennbarer Mangel anhaftet und die Rechtssicherheit durch die Nichtigkeit nicht ernsthaft gefährdet wird (vgl. ULRICH HÄFELIN/GEORG MÜLLER/FELIX UHLMANN, Allgemeines Verwaltungsrecht, 5. Aufl., Zürich/ Basel/Genf 2006, Rz. 956, mit weiteren Hinweisen).</w:t>
      </w:r>
    </w:p>
    <w:p>
      <w:r>
        <w:rPr>
          <w:b/>
        </w:rPr>
        <w:t>E. 3.2</w:t>
      </w:r>
    </w:p>
    <w:p>
      <w:r>
        <w:t>Zunächst ist zu prüfen, ob die angefochtene Verfügung des BFM vom 22. März 2010, wie vom Beschwerdeführer gerügt, einen besonders schweren Mangel aufweist.</w:t>
      </w:r>
    </w:p>
    <w:p>
      <w:r>
        <w:rPr>
          <w:b/>
        </w:rPr>
        <w:t>E. 3.3</w:t>
      </w:r>
    </w:p>
    <w:p>
      <w:r>
        <w:t>Gemäss Art. 34 Abs. 1 VwVG sind Verfügungen von der Behörde den Parteien grundsätzlich schriftlich zu eröffnen. Art. 13 Abs. 1 AsylG sieht als Ausnahme zu dieser Bestimmung vor, dass Verfügungen und Entscheide in geeigneten Fällen mündlich eröffnet und summarisch begründet werden können. Mit der Einführung dieser Möglichkeit der Eröffnung wurde der Zweck verfolgt, namentlich im Falle des Nichteintretens auf ein Asylgesuch, schnelle Entscheide in vereinfachter Form fällen zu können, wenn sich ein Entscheid ohne grossen Aufwand begründen lässt (vgl. Urteil des Bundesverwaltungsgerichts, zur Publikation vorgesehen, D-4210/2009 vom 12. Februar 2010 E. 3.2).</w:t>
      </w:r>
    </w:p>
    <w:p>
      <w:r>
        <w:rPr>
          <w:b/>
        </w:rPr>
        <w:t>E. 3.4</w:t>
      </w:r>
    </w:p>
    <w:p>
      <w:r>
        <w:t>Die mündliche Eröffnung ist samt Begründung protokollarisch festzuhalten und den Asylsuchenden ist ein Protokollauszug auszuhändigen (Art. 13 Abs. 2 AsylG). Dieser muss den Kriterien von Art. 35 Abs. 1 VwVG für schriftliche Verfügungen entsprechen.</w:t>
      </w:r>
    </w:p>
    <w:p>
      <w:r>
        <w:rPr>
          <w:b/>
        </w:rPr>
        <w:t>E. 3.5</w:t>
      </w:r>
    </w:p>
    <w:p>
      <w:r>
        <w:t>Welche Form der auszuhändigende Protokollauszug aufzuweisen hat, ist im Asylgesetz nicht näher geregelt. Die Zusammenlegung dieses Protokolls mit demjenigen der Anhörung zu den Asylgründen gemäss Art. 29 Abs. 1 AsylG kann aber aus Gründen der Rechtssicherheit gerechtfertigt sein. Da das Anhörungsprotokoll bereits das Datum sowie die Angaben zur Identität des Asylsuchenden enthält, ist es bei einer Vereinigung der beiden Protokolle nicht notwendig, diese Angaben im Entscheidprotokoll zu wiederholen. Nachdem dem Asylsuchenden der Entscheid mündlich zur Kenntnis gebracht wird, widerspricht es den Formvorschriften auch nicht, dass die Verfügung des BFM im ausgehändigten Protokoll nicht ausdrücklich als solche bezeichnet wird (vgl. Urteil des Bundesverwaltungsgerichts a.a.O. E. 3.3).</w:t>
      </w:r>
    </w:p>
    <w:p>
      <w:r>
        <w:rPr>
          <w:b/>
        </w:rPr>
        <w:t>E. 3.6</w:t>
      </w:r>
    </w:p>
    <w:p>
      <w:r>
        <w:t>Bei der angefochtenen Verfügung des BFM vom 22. März 2010 handelt es sich um einen Nichteintretensentscheid. Zudem ist die Sach- und Rechtslage derart klar, dass sich eine summarische Begründung als sachgerecht erweist. Somit war das Bundesamt befugt, vorliegend seinen Entscheid mündlich zu eröffnen. Zudem entspricht die dem Beschwerdeführer ausgehändigte schriftliche Urteilsbegründung den anwendbaren Formvorschriften.</w:t>
      </w:r>
    </w:p>
    <w:p>
      <w:r>
        <w:rPr>
          <w:b/>
        </w:rPr>
        <w:t>E. 3.7</w:t>
      </w:r>
    </w:p>
    <w:p>
      <w:r>
        <w:t>Nach dem Gesagten ist das Gesuch um Feststellung der Nichtigkeit der Verfügung des BFM vom 22. März 2010 als unbegründet abzuweisen.</w:t>
      </w:r>
    </w:p>
    <w:p>
      <w:r>
        <w:rPr>
          <w:b/>
        </w:rPr>
        <w:t>E. 4</w:t>
      </w:r>
    </w:p>
    <w:p>
      <w:r>
        <w:t>Nachdem der Beschwerdeführer in seinen weiteren Beschwerdeanträgen nur die Gewährung der vorläufigen Aufnahme beantragt, ist davon auszugehen, dass die Ziffern 1 und 2 der Verfügung des BFM vom 22. März 2010 (Nicht-Eintreten auf das Asylgesuch, Wegweisung) unangefochten in Rechtskraft erwachsen sind.</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Bosnien und Herzegowina ist demnach unter dem Aspekt von Art. 5 AsylG rechtmässig.</w:t>
      </w:r>
    </w:p>
    <w:p>
      <w:r>
        <w:rPr>
          <w:b/>
        </w:rPr>
        <w:t>E. 5.2.3</w:t>
      </w:r>
    </w:p>
    <w:p>
      <w:r>
        <w:t>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5.2.4</w:t>
      </w:r>
    </w:p>
    <w:p>
      <w:r>
        <w:t>Den Ausführungen des Beschwerdeführers lässt sich nicht entnehmen, dass er vor seiner Ausreise aus seinem Heimatstaat völkerrechtswidrigen Repressalien in diesem Sinne ausgesetzt gewesen wäre. Die Homosexualität ist gemäss den vorliegenden Berichten in weiten Gesellschaftskreisen in Bosnien und Herzegowina weiterhin geächtet und Betroffene müssen mit Beschimpfungen und Schikanen rechnen, obwohl die Diskriminierung aufgrund der geschlechtlichen Orientierung durch das im Jahre 2003 in Kraft getretene "Gender Equality Law" ausdrücklich verboten wurde. Daraus lässt sich jedoch nicht schliessen, dass der Beschwerdeführer mit hoher Wahrscheinlichkeit mit einer völkerrechtswidrige Gefährdung im oben beschriebenen Ausmass zu rechnen hätte.</w:t>
      </w:r>
    </w:p>
    <w:p>
      <w:r>
        <w:rPr>
          <w:b/>
        </w:rPr>
        <w:t>E. 5.2.5</w:t>
      </w:r>
    </w:p>
    <w:p>
      <w:r>
        <w:t>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Der Beschwerdeführer ist nach eigenen Angaben als Waise bei mehreren Adoptiv- und Pflegefamilien aufgewachsen und verfügt über keine Angehörigen in seinem Heimatstaat oder im Ausland. Nachdem er aber über berufliche Erfahrung verfügt und in der Vergangenheit in der Lage war, für seinen Lebensunterhalt selber aufzukommen, sowie in Anbetracht seiner gemäss Aktenlage guten Gesundheit kann jedoch davon ausgegangen werden, dass es ihm möglich sein wird, seine Existenz im Heimatstaat selber zu sichern. Ebenso liegen keine konkreten Hinweise dafür vor, dass er aufgrund seiner Homosexualität in seinem Heimatland in eine existenz- beziehungsweise lebensbedrohliche Lage geraten würde. Nach dem Gesagten erweist sich Vollzug der Wegweisung auch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von Fr. 600.-- (Art. 1-3 des Reglements vom 11. Dezember 2006 über die Kosten und Entschädigungen vor dem Bundesverwaltungsgericht [VGKE, SR 173.320.2]) dem Beschwerdeführer aufzuerlegen (Art. 63 Abs. 1 VwVG). Nachdem aber aufgrund der Aktenlage von seiner Bedürftigkeit auszugehen ist und die Beschwerde nicht als aussichtslos bezeichnet werden konnte, ist das Gesuch um Gewährung der unentgeltlichen Rechtspflege gemäss Art. 65 Abs. 1 VwVG gutzuheissen und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