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E-2018/2014 vom 29. Oktober 2014</w:t>
      </w:r>
    </w:p>
    <w:p>
      <w:r>
        <w:t>Bundesverwaltungsgericht, 2014-10-29, FR</w:t>
      </w:r>
    </w:p>
    <w:p>
      <w:r>
        <w:rPr>
          <w:b/>
        </w:rPr>
        <w:t xml:space="preserve">Quelle: </w:t>
      </w:r>
      <w:r>
        <w:t>https://mcp.opencaselaw.ch/entscheid/bvger_E-2018_2014</w:t>
      </w:r>
    </w:p>
    <w:p>
      <w:r>
        <w:t>FR: TAF E-2018/2014 du 29 octobre 2014</w:t>
      </w:r>
    </w:p>
    <w:p>
      <w:r>
        <w:t>IT: TAF E-2018/2014 del 29 ottobre 2014</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de ses motifs.</w:t>
      </w:r>
    </w:p>
    <w:p>
      <w:r>
        <w:rPr>
          <w:b/>
        </w:rPr>
        <w:t>E. 3.2</w:t>
      </w:r>
    </w:p>
    <w:p>
      <w:r>
        <w:t>En premier lieu, le Tribunal ne peut que constater le peu de similitude entre les faits dépeints lors des deux auditions. En effet, au CEP, l'intéressé a uniquement fait état de sa participation contrainte à l'interrogatoire d'opposants. Devant l'ODM, il a en revanche décrit ses démêlés personnels avec les services de sécurité et la fuite qui aurait suivi. Ce n'est qu'à la fin de l'entretien (cf. audition du 17 février 2014, question 143), sollicité par l'auditeur, qu'il a évoqué à nouveau les interrogatoires auxquels il aurait assisté, relatant d'ailleurs ces événements de manière différente, et sans les dater de manière constante. Contrairement à ce que soutient le recourant, le fait que l'audition menée au CEP soit sommaire peut certes expliquer que certains détails du récit ne soient allégués que plus tard, mais ne peut justifier que les motifs d'abord présentés comme principaux n'apparaissent plus qu'accessoires dans l'audition suivante. La réalité de l'épisode décrit est donc sujette à caution. Le Tribunal ne voit d'ailleurs pas pour quelle raison les services de sécurité syriens, aux effectifs nombreux, auraient recouru aux services d'une personne comme le recourant, d'origine kurde et déjà considéré comme suspect ; en effet, interroger et enregistrer des personnes arrêtées était une tâche délicate et confidentielle, du ressort de professionnels.</w:t>
      </w:r>
    </w:p>
    <w:p>
      <w:r>
        <w:rPr>
          <w:b/>
        </w:rPr>
        <w:t>E. 3.3</w:t>
      </w:r>
    </w:p>
    <w:p>
      <w:r>
        <w:t>En outre, les motifs de fuite, tels qu'allégués, ne sont ni limpides ni crédibles. L'intéressé ayant obéi aux consignes qui lui avaient été données, les raisons de son arrestation d'août 2010 ne sont pas claires, pas plus que les motifs de sa libération ; il n'a d'ailleurs pas été en mesure de donner à ce sujet une explication convaincante (cf. audition du 17 février 2014, questions 124-126). Le Tribunal observe par ailleurs que l'intéressé, après sa première fuite en Turquie, a toutefois regagné la Syrie ; il a donné à cette attitude des justifications contradictoires (cf. audition du 17 février 2014, questions 85, 139-140) et, de plus, peu crédibles ; en effet, s'il s'était réellement senti exposé à un risque de persécution imminente, il n'aurait jamais regagné son pays d'origine. Le recourant ne s'est pas non plus montré clair au sujet de son passeport et de ses conditions de voyage. Il est impossible de déterminer, d'après ses dires, si son passeport lui a été retiré à sa libération en 2010 et s'il a alors fait l'objet d'une interdiction de sortie, ou si ces mesures n'ont été prises qu'à son retour de Turquie. La confiscation du passeport est donc peu crédible, compte tenu également de la facilité avec laquelle l'intéressé l'aurait récupéré. Par ailleurs, il est invraisemblable que le recourant, s'il avait été recherché, ait pu quitter la Syrie par l'aéroport de Damas, où les contrôles sont particulièrement sévères, porteur de son passeport personnel.</w:t>
      </w:r>
    </w:p>
    <w:p>
      <w:r>
        <w:rPr>
          <w:b/>
        </w:rPr>
        <w:t>E. 3.4</w:t>
      </w:r>
    </w:p>
    <w:p>
      <w:r>
        <w:t>Enfin, il n'est aucunement attesté que l'intéressé ait vraiment rejoint la Suisse via l'Espagne ainsi qu'il le prétend ; en effet, si les autorités espagnoles avaient réellement conservé son passeport et pris ses empreintes digitales, ainsi qu'il le prétend (cf. audition CEP, pt. 16), elles n'auraient pas rejeté la demande de prise en charge que l'ODM leur avait adressée, en application de l'art. 17 par. 1 du règlement (CE) no 343/2003 du Conseil du 18 février 2003 établissant les critères et mécanismes de détermination de l'Etat membre responsable de l'examen d'une demande d'asile présentée dans l'un des Etats membres par un ressortissant d'un pays tiers (règlement Dublin II). Il est donc probable que l'intéressé n'a pas remis son passeport aux autorités suisses et l'a conservé par devers lui, les mentions qui s'y trouvent étant susceptibles de contredire sa version des faits.</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La décision rendue par l'ODM quant au renvoi est ainsi confirmée. Quant à son exécution, le Tribunal constate que l'ODM a exclu le refoulement de l'intéressé dans son pays d'origine et a prononcé son admission provisoire. Cette question n'a donc pas à être tranchée.</w:t>
      </w:r>
    </w:p>
    <w:p>
      <w:r>
        <w:rPr>
          <w:b/>
        </w:rPr>
        <w:t>E. 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