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E-2017/2017 vom 18. April 2017</w:t>
      </w:r>
    </w:p>
    <w:p>
      <w:r>
        <w:t>Bundesverwaltungsgericht, 2017-04-18, DE</w:t>
      </w:r>
    </w:p>
    <w:p>
      <w:r>
        <w:rPr>
          <w:b/>
        </w:rPr>
        <w:t xml:space="preserve">Quelle: </w:t>
      </w:r>
      <w:r>
        <w:t>https://mcp.opencaselaw.ch/entscheid/bvger_E-2017_2017</w:t>
      </w:r>
    </w:p>
    <w:p>
      <w:r>
        <w:t>FR: TAF E-2017/2017 du 18 avril 2017</w:t>
      </w:r>
    </w:p>
    <w:p>
      <w:r>
        <w:t>IT: TAF E-2017/2017 del 18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Vorab ist festzustellen, dass der Beschwerde von Gesetzes wegen aufschiebende Wirkung zukommt und die Vorinstanz diese vorliegend nicht entzogen hat. Der entsprechende Eventualantrag auf Wiederherstellung der aufschiebenden Wirkung ist daher gegenstandslos.</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des Beschwerdeführers würden weder den Anforderungen an die Flüchtlingseigenschaft gemäss Art. 3 AsylG noch denjenigen an das Glaubhaftmachen gemäss Art. 7 AsylG standhalten. Der Beschwerdeführer machte nicht geltend, aus einem Grund nach Art. 3 AsylG verfolgt zu werden. Sodann handle es sich um Übergriffe durch Dritte beziehungsweise um drohende Übergriffe durch Dritte. Ein asylrelevantes Verfolgungsmotiv fehle somit. Auch wenn ein solches vorläge, seien Vorbringen nur dann asylrelevant, wenn der Staat nicht schutzfähig oder schutzwillig sei. Im Kontext von Pakistan sei davon auszugehen, dass der Staat grundsätzlich schutzfähig und schutzwillig sei. Selbst wenn eine asylrelevante Verfolgung durch nichtstaatliche Akteure vorliegen würde, könnte sich der Beschwerdeführer dieser durch einen Wegzug in einen anderen Teil Pakistans entziehen. Zur Begründung, weshalb er nicht in eine andere Region Pakistans gezogen sei, habe er einzig auf die allgemein schlechten Lebensbedingungen hingewiesen. Schliesslich seien seine Aussagen anlässlich der BzP und der Anhörung von grossen Widersprüchen geprägt, unsubstantiiert und nicht nachvollziehbar. Die eingereichten Beweismittel würden insgesamt zu keinem anderen Schluss führen.</w:t>
      </w:r>
    </w:p>
    <w:p>
      <w:r>
        <w:rPr>
          <w:b/>
        </w:rPr>
        <w:t>E. 6.2</w:t>
      </w:r>
    </w:p>
    <w:p>
      <w:r>
        <w:t>In der Rechtsmitteleingabe macht der Beschwerdeführer sinngemäss geltend, die Vorinstanz habe ihn zu Unrecht nicht als Flüchtling anerkannt sowie den Massstab des Glaubhaftmachens nicht richtig angewendet. Damit verletze sie Bundesrecht. Die vorinstanzliche Beweiswürdigung ist nicht zu beanstanden. In der angefochtenen Verfügung wird einlässlich begründet, weshalb der Beschwerdeführer die Voraussetzungen zur Anerkennung als Flüchtling nicht erfüllt. Was in der Rechtsmitteleingabe dagegen vorgebracht wird, ist nicht geeignet, zu einem anderen Schluss zu gelangen. Mit dem kurzen Wiederholen des aktenkundigen Sachverhalts legt der Beschwerdeführer nicht dar, inwiefern die Vorinstanz ihn zu Unrecht nicht als Flüchtling anerkannt hat. Solches ist auch nicht ersichtlich. Um Wiederholungen zu vermeiden, kann vollumfänglich auf die zutreffenden Erwägungen in der angefochtenen Verfügung verwiesen werden. Aufgrund der vorstehenden Erwägungen besteht somit keine Veranlassung, den Eingang des Haftbefehls abzuwarten. Der sinngemässe Antrag ist abzuweisen.</w:t>
      </w:r>
    </w:p>
    <w:p>
      <w:r>
        <w:rPr>
          <w:b/>
        </w:rPr>
        <w:t>E. 6.3</w:t>
      </w:r>
    </w:p>
    <w:p>
      <w:r>
        <w:t>Zusammenfassend ist festzuhalten, dass die Vorinstanz die Flüchtlingseigenschaft des Beschwerdeführers zu Recht verneint und sein Asylgesuch abgelehnt hat.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Pakistan dort mit beachtlicher Wahrscheinlichkeit einer nach Art. 3 EMRK oder Art. 1 FoK verbotenen Strafe oder Behandlung ausgesetzt wäre. Der Vollzug der Wegweisung ist demnach zulässig.</w:t>
      </w:r>
    </w:p>
    <w:p>
      <w:r>
        <w:rPr>
          <w:b/>
        </w:rPr>
        <w:t>E. 8.3</w:t>
      </w:r>
    </w:p>
    <w:p>
      <w:r>
        <w:t>Nach Art. 83 Abs. 4 AuG kann der Vollzug für Ausländerinnen und Ausländer unzumutbar sein, wenn sie im Heimat- oder Herkunftsstaat aufgrund von Situationen wie Krieg, Bürgerkrieg, allgemeiner Gewalt und medizinischer Notlage konkret gefährdet sind. In Pakistan herrscht keine landesweite Situation allgemeiner Gewalt, die zur Annahme führen müsste, jede dorthin zurückkehrende Person sei mit erheblicher Wahrscheinlichkeit konkret gefährdet. Der Wegweisungsvollzug ist daher generell zumutbar. Den Akten lassen sich keine konkreten Anhaltspunkte dafür entnehmen, dass der Beschwerdeführer aus individuellen Gründen wirtschaftlicher, sozialer oder gesundheitlicher Natur bei einer Rückkehr nach Pakistan in eine existenzbedrohende Situation geraten würde. Beim Beschwerdeführer handelt es sich um einen heute (...)-jährigen alleinstehenden Mann ohne gesundheitliche Probleme. Er hat gemäss eigenen Angaben Arbeitserfahrung in einem (...)markt, in einer (...) und als (...) gesammelt. Zudem verfügt er über ein bestehendes Beziehungsnetz. Seine Mutter und drei Geschwister leben nach wie vor in Pakistan und werden ihm bei einem Neuanfang behilflich sein können. Die Rückkehr nach Pakistan ist dem Beschwerdeführer demzufolge zumutbar.</w:t>
      </w:r>
    </w:p>
    <w:p>
      <w:r>
        <w:rPr>
          <w:b/>
        </w:rPr>
        <w:t>E. 8.4</w:t>
      </w:r>
    </w:p>
    <w:p>
      <w:r>
        <w:t>Es obliegt dem Beschwerdeführer, sich die für die Rückkehr allenfalls benötigten Reisedokumente bei der Vertretung seines Heimatstaates zu beschaffen (vgl. Art. 8 Abs. 4 AsylG und dazu auch BVGE 2014/39 E. 9.5). Der Vollzug der Wegweisung ist somit auch als möglich zu bezeichnen (Art. 83 Abs. 2 AuG).</w:t>
      </w:r>
    </w:p>
    <w:p>
      <w:r>
        <w:rPr>
          <w:b/>
        </w:rPr>
        <w:t>E. 8.5</w:t>
      </w:r>
    </w:p>
    <w:p>
      <w:r>
        <w:t>Die Vorinstanz hat den Vollzug demnach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und amtlichen Verbeiständung. Aufgrund der vorstehenden Erwägungen ergibt sich, dass seine Begehren als aussichtslos zu gelten haben. Damit ist eine der kumulativ zu erfüllenden Voraussetzungen nicht gegeben, weshalb den Gesuchen nicht stattzugeben ist.</w:t>
      </w:r>
    </w:p>
    <w:p>
      <w:r>
        <w:rPr>
          <w:b/>
        </w:rPr>
        <w:t>E. 10.2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