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E-2011/2017 vom 29. September 2017</w:t>
      </w:r>
    </w:p>
    <w:p>
      <w:r>
        <w:t>Bundesverwaltungsgericht, 2017-09-29, DE</w:t>
      </w:r>
    </w:p>
    <w:p>
      <w:r>
        <w:rPr>
          <w:b/>
        </w:rPr>
        <w:t xml:space="preserve">Quelle: </w:t>
      </w:r>
      <w:r>
        <w:t>https://mcp.opencaselaw.ch/entscheid/bvger_E-2011_2017</w:t>
      </w:r>
    </w:p>
    <w:p>
      <w:r>
        <w:t>FR: TAF E-2011/2017 du 29 septembre 2017</w:t>
      </w:r>
    </w:p>
    <w:p>
      <w:r>
        <w:t>IT: TAF E-2011/2017 del 29 settembre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Beschwerdeeingabe des Beschwerdeführers richtet sich ausschliesslich gegen die Abweisung seines Gesuchs um Einbezug in die Flüchtlingseigenschaft seiner Ehefrau gemäss Art. 51 Abs. 1 AsylG. Demnach ist die angefochtene Verfügung des SEM, soweit sie das Nichteintreten auf das originäre Asylgesuch des Beschwerdeführers gestützt auf Art. 31a Abs. 1 Bst. c AsylG betrifft, unangefochten in Rechtskraft erwachsen.</w:t>
      </w:r>
    </w:p>
    <w:p>
      <w:r>
        <w:rPr>
          <w:b/>
        </w:rPr>
        <w:t>E. 3</w:t>
      </w:r>
    </w:p>
    <w:p>
      <w:r>
        <w:t>Die Kognition des Bundesverwaltungsgerichts und die zulässigen Rügen richten sich im Asylbereich nach Art. 106 Abs. 1 AsylG (vgl. BVGE 2014/26 E. 5).</w:t>
      </w:r>
    </w:p>
    <w:p>
      <w:r>
        <w:rPr>
          <w:b/>
        </w:rPr>
        <w:t>E. 4</w:t>
      </w:r>
    </w:p>
    <w:p>
      <w:r>
        <w:t>Gemäss Art. 51 Abs. 1 AsylG werden Ehegatten von Flüchtlingen und ihre minderjährigen Kinder als Flüchtlinge anerkannt und erhalten Asyl, wenn keine besonderen Umstände dagegen sprechen. In der Schweiz geborene Kinder von Flüchtlingen werden gemäss Art. 51 Abs. 3 AsylG auch als Flüchtlinge anerkannt, sofern wiederum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 Massgeblicher Zeitpunkt für die Prüfung der übrigen Voraussetzungen für den Einbezug in die Flüchtlingseigenschaft ist nicht der Zeitpunkt der Gesuchstellung, sondern derjenige des Asyl- beziehungsweise Beschwerdeentscheides (vgl. Entscheidungen und Mitteilungen der Schweizerischen Asylrekurskommission [EMARK] 2002 Nr. 20 E. 5a S. 167).</w:t>
      </w:r>
    </w:p>
    <w:p>
      <w:r>
        <w:rPr>
          <w:b/>
        </w:rPr>
        <w:t>E. 5.1</w:t>
      </w:r>
    </w:p>
    <w:p>
      <w:r>
        <w:t>Die Vorinstanz begründete ihren ablehnenden Entscheid in Bezug auf das Gesuch um Einbezug in die Flüchtlingseigenschaft der Ehefrau des Beschwerdeführers damit, der Einbezug in die Flüchtlingseigenschaft gestützt auf Art. 51 AsylG setzte voraus, dass der Flüchtling vor der Ausreise in einem gemeinsamen Haushalt mit dem Familienmitglied gelebt habe, für welches der Einbezug verlangt werde, sowie dass die Personen durch die Flucht getrennt worden seien. Der Beschwerdeführer habe gemäss seinen Angaben nach der Flucht aus der Gefangenschaft in Eritrea im Jahre 2008 noch mehrere Tage bei seiner Ehefrau verbracht, bevor er aus seinem Heimatstaat ausgereist sei. Indessen habe er seine Ehefrau und die gemeinsamen Kinder nicht über seinen Weggang in Kenntnis gesetzt und - was seine Ehefrau bestätige nach der Ausreise während etwa sechs Jahren keinen Kontakt mehr zu seiner Familie aufgenommen. Er habe angegeben, erst etwa im November 2014 von seinem in H._______ lebenden Bruder erfahren zu haben, dass seine Ehefrau und eines ihrer gemeinsamen Kinder sich in der Schweiz aufhalten würden. Diese Aktenlage lasse darauf schliessen, dass der Beschwerdeführer sich nach seiner Ausreise aus Eritrea nicht um eine Weiterführung seiner ehelichen Beziehung bemüht habe. Seine Erklärungen, er habe seine Ehefrau nicht durch eine direkte Kontaktaufnahme gefährden und seinen Aufenthaltsort nicht preisegeben wollen, sowie Eritreer seien damit vertraut, lange nichts voneinander zu hören, vermöchten nicht zu überzeugen und den Kontaktabbruch nicht plausibel zu erklären. Es sei nicht erkennbar, dass er sich darum bemüht hätte, während der sechsjährigen Trennung den Kontakt zu seiner Familie wiederherzustellen, und es sei daher von einer abgebrochenen Beziehung auszugehen. Demnach sei eine zwingende Voraussetzung für das Familienasyl gemäss Art. 51 AsylG, das Bestehen einer dauerhaft gelebten Beziehung, nicht gegeben.</w:t>
      </w:r>
    </w:p>
    <w:p>
      <w:r>
        <w:rPr>
          <w:b/>
        </w:rPr>
        <w:t>E. 5.2</w:t>
      </w:r>
    </w:p>
    <w:p>
      <w:r>
        <w:t>Der Beschwerdeführer brachte zur Begründung seiner Beschwerde vor, er sei als hochrangiger (...) unter anderem in der (...)abteilung tätig gewesen und wegen seiner oppositionellen Aktivitäten zu einer Gefängnisstrafe verurteilt worden. Er gehe davon aus, dass das eritreische Regime nach wie vor nach ihm suche, um ihn umzubringen. Er habe in Italien Drohbriefe erhalten und habe aus diesem Grund speziellen polizeilichen Schutz erhalten. Auch seine Ehefrau sei für die Opposition in Eritrea tätig gewesen. Es handle sich bei ihnen somit um sehr exponierte Personen, die weit mehr als die meisten eritreischen Flüchtlinge gefährdet seien. Die Vorinstanz habe diesem Aspekt keine Rechnung getragen. Er habe seiner Ehefrau angekündigt, aus Eritrea fliehen zu wollen, sobald sich dazu eine Gelegenheit ergebe. Es habe aber gute Gründe dafür gegeben, dass er sie nicht informiert habe, als er tatsächlich die Möglichkeit zur Flucht gehabt habe, hätte dies doch mit grosser Wahrscheinlichkeit zu Komplikationen und Verzögerungen geführt, welche ihn und seine Familie zusätzlich gefährdet hätten. Dass er seine Ausreise nicht mit seiner Ehefrau besprochen habe, sei demnach sehr wohl nachvollziehbar und habe auch dem Schutz der Angehörigen gedient. Aufgrund seiner früheren Tätigkeit kenne er die Überwachungsmethoden der eritreischen Behörden und habe deshalb gewusst, dass mit hoher Wahrscheinlichkeit Telefonate an seine Ehefrau abgehört und Briefe geöffnet worden wären. Es sei daher naheliegend, dass er aus Sorge um das Wohl seiner Familie jede direkte Kontaktaufnahme unterlassen habe. Überdies hätten Telefonate oder Briefe den eritreischen Behörden Anhaltspunkte zu seinem Aufenthaltsort liefern können. Er habe begründete Angst gehabt, auch im Ausland vom Regime verfolgt zu werden. Mit einer direkten Kontaktaufnahme hätte er sowohl seine Ehefrau als auch sich selber einer grossen Gefahr ausgesetzt. Trotzdem sei ihr Kontakt während der sechsjährigen Trennung nie abgebrochen. Er habe während dieser Zeit einen intensiven indirekten Kontakt zur Ehefrau über seinen Bruder in H._______ aufrechterhalten. Auch der Bruder habe es vermieden, direkt mit seiner Ehefrau Kontakt aufzunehmen, und jeweils mit seiner Mutter telefoniert, die wiederum regelmässigen Kontakt zur Ehefrau gepflegt habe. Auf diese Weise seien Informationen über das Wohlergehen seiner Ehefrau jeweils an ihn weitergeleitet worden und er habe dieser so auch Nachrichten über seine Situation zukommen lassen. Die Vorinstanz sei unverständlicherweise auf den indirekt gepflegten Kontakt nicht eingegangen und habe auch hiermit die Begründungspflicht verletzt. Es gehe nicht an, dass zugunsten des Beschwerdeführers sprechende Aspekte einfach weggelassen würden. Es sei stets ihr Ziel gewesen, die Familie baldmöglichst wieder zu vereinigen. Aus diesen Gründen habe trotz der mehrjährigen Trennung stets eine dauerhaft gelebte Beziehung im Sinne von Art. 51 AsylG bestanden, und er sei daher in die Flüchtlingseigenschaft seiner Ehefrau einzubeziehen.</w:t>
      </w:r>
    </w:p>
    <w:p>
      <w:r>
        <w:rPr>
          <w:b/>
        </w:rPr>
        <w:t>E. 5.3</w:t>
      </w:r>
    </w:p>
    <w:p>
      <w:r>
        <w:t>Die Vorinstanz stellte sich in ihrer Vernehmlassung auf den Standpunkt, es sei nicht nachvollziehbar, dass der Beschwerdeführer seine Familie nach deren Ausreise im Jahr 2013 und ihrer Einreise in die Schweiz im November 2013 weiterhin nicht kontaktiert habe. Er habe erst rund ein Jahr später, kurz nachdem seiner Ehefrau Asyl gewährt worden sei, Kontakt aufgenommen und sei in die Schweiz eingereist. Es sei daher zu bezweifeln, dass er sich darum bemüht habe, die Ehebeziehung unmittelbar wieder aufzunehmen. Vielmehr erscheine plausibel, dass er sich aufgrund veränderter Opportunitäten entschlossen habe, die abgebrochene Beziehung wieder aufzunehmen.</w:t>
      </w:r>
    </w:p>
    <w:p>
      <w:r>
        <w:rPr>
          <w:b/>
        </w:rPr>
        <w:t>E. 5.4</w:t>
      </w:r>
    </w:p>
    <w:p>
      <w:r>
        <w:t>Der Beschwerdeführer stellte in seiner Replik fest, das SEM habe mit seiner Argumentation in der Vernehmlassung zumindest indirekt anerkannt, dass er gute Gründe gehabt habe, seine Ehefrau nicht direkt zu kontaktieren, solange sie sich noch in Eritrea aufgehalten habe. Der in H._______ lebende Bruder habe bestätigt, dass er der Ehefrau nur spärliche Informationen über seine (des Beschwerdeführers) Situation übermittelt habe, einerseits aus Sicherheitsgründen und andererseits um sie nicht zu belasten sowie um sie von einer überstürzten Ausreise abzuhalten. Er habe seiner Ehefrau auch immer wieder mithilfe seines Bruders Geldbeträge zukommen lassen. Sein Bruder habe sich entschieden, ihn erst über die Flucht seiner Ehefrau zu informieren, als diese einigermassen in Sicherheit gewesen sei und Aussichten darauf bestanden hätten, die in Eritrea verbliebenen Kinder nachholen zu können. Der Bruder habe damit verhindern wollen, dass er sich Sorgen mache wegen der Situation seiner Ehefrau auf der gefährlichen Flucht sowie wegen des Schicksals der in Eritrea verbliebenen Kinder. Im Zeitpunkt der Asylgesuchseinreichung sei seine Ehefrau noch nicht in Sicherheit gewesen. Erst als ihr eine Aufenthaltsberechtigung gewährt worden sei, habe sein Bruder die Voraussetzungen als gegeben erachtet, ihn über die Ausreise seiner Ehefrau in Kenntnis zu setzen. Sobald er davon erfahren habe, sei er in die Schweiz gereist, um die Ehe-beziehung weiterzuführen. Sie hätten ihre Beziehung auch während der Trennung im Rahmen der gegebenen Möglichkeiten aufrechterhalten, mit dem Ziel einer baldmöglichsten Wiederaufnahme der ehelichen Gemeinschaft. Dafür, dass während über sechs Jahren kein direkter Kontakt stattgefunden habe, gebe es objektiv nachvollziehbar Gründe.</w:t>
      </w:r>
    </w:p>
    <w:p>
      <w:r>
        <w:rPr>
          <w:b/>
        </w:rPr>
        <w:t>E. 6.1</w:t>
      </w:r>
    </w:p>
    <w:p>
      <w:r>
        <w:t>Dass es sich bei der in der Schweiz als Flüchtling anerkannten B._______ um die Ehefrau des Beschwerdeführers handelt, ist unbestritten. Im Verlauf des erstinstanzlichen Verfahrens wurde zum Beleg der Eheschliessung eine Heiratsurkunde in Kopie eingereicht. Demnach wäre eine Grundvoraussetzung für die Gewährung des Familienasyls erfüllt.</w:t>
      </w:r>
    </w:p>
    <w:p>
      <w:r>
        <w:rPr>
          <w:b/>
        </w:rPr>
        <w:t>E. 6.2</w:t>
      </w:r>
    </w:p>
    <w:p>
      <w:r>
        <w:t>Indessen gelangt das Gericht in Übereinstimmung mit der Vorinstanz zum Schluss, dass vorliegend besondere Umstände gegeben sind, welche einem Einbezug des Beschwerdeführers in das seiner Ehefrau gewährte Asyl entgegenstehen. Die besonderen Umstände des Falls sprechen vorliegend gegen einen solchen Einbezug. Der Beschwerdeführer verfügt seinerseits seit dem Jahr 2008 in einem sicheren Drittstaat über den Asyl-status nach Anerkennung seiner Flüchtlingseigenschaft. Es ist - auch angesichts der unterlassenen Anfechtung der Verfügung des SEM, soweit darin auf sein Asylgesuch nicht eingetreten wird - davon auszugehen, dass er bewusst in Umgehung der anwendbaren Gesetzesbestimmungen in die Schweiz gereist und sein Asylgesuch in der Schweiz einzig mit dem Ziel der Familienzusammenführung gestellt hat. Dieses Vorgehen ist indessen als Rechtsumgehung zu qualifizieren und kann nicht geschützt werden. Anders zu entscheiden würde bedeuten, die Umgehung der im AuG vorgesehenen gesetzlichen Bestimmungen zum Familiennachzug zu schützen (vgl. hierzu etwa das Urteil des BVGer D-4916/2014 vom 5. Dezember 2014 E. 6.4).</w:t>
      </w:r>
    </w:p>
    <w:p>
      <w:r>
        <w:rPr>
          <w:b/>
        </w:rPr>
        <w:t>E. 6.3</w:t>
      </w:r>
    </w:p>
    <w:p>
      <w:r>
        <w:t>Bei diesem Ergebnis kann die Frage offengelassen werden, ob darin, dass der Beschwerdeführer und seine Ehefrau während mehr als sechs Jahren getrennt waren und in dieser Zeit nur indirekten Kontakt pflegten, ein besonderer Umstand im Sinne von Art. 51 Abs. 1 AsylG zu erblicken ist. Nachdem sich die Ausführungen des Beschwerdeführers zur Stützung seines Gesuchs um Familienasyl als nicht ausschlaggebend erweisen, ist auch der Vorwurf haltlos, die Vorinstanz habe die Begründungspflicht verletzt, indem sie diese nicht hinreichend berücksichtigt habe.</w:t>
      </w:r>
    </w:p>
    <w:p>
      <w:r>
        <w:rPr>
          <w:b/>
        </w:rPr>
        <w:t>E. 6.4</w:t>
      </w:r>
    </w:p>
    <w:p>
      <w:r>
        <w:t>Im Übrigen können im vorliegenden Verfahren weder die Bestimmungen von Art. 8 EMRK noch jene des UNO-Pakts II über bürgerliche und politische Rechte (Internationaler Pakt über bürgerliche und politische Rechte vom 16. Dezember 1966, SR 0.103.2) ergänzend angewendet werden, wenn die Voraussetzungen des Familienasyls im Sinne von Art. 51 Abs. 1 AsylG nicht erfüllt sind. Die Frage nach einem allfälligen Anspruch des Beschwerdeführers auf Aufenthalt in der Schweiz als Ehemann beziehungsweise Vater hier aufenthaltsberechtigter Personen wird von der zuständigen kantonalen Migrationsbehörde im Rahmen der Beurteilung des vom Beschwerdeführer gestützt auf Art. 44 AuG anhängig gemachten Gesuchs um Erteilung einer Aufenthaltsbewilligung zu prüfen sein (vgl. EMARK 2002 Nr. 6 E. 5 S. 44 f.). Diese Behörde ist bei der Prüfung eines entsprechenden Gesuchs ebenfalls insbesondere an die Bestimmung von Art. 8 EMRK gebunden.</w:t>
      </w:r>
    </w:p>
    <w:p>
      <w:r>
        <w:rPr>
          <w:b/>
        </w:rPr>
        <w:t>E. 6.5</w:t>
      </w:r>
    </w:p>
    <w:p>
      <w:r>
        <w:t>Nach dem Gesagten hat die Vorinstanz zumindest im Ergebnis das Gesuch des Beschwerdeführers um (asylrechtliche) Familienvereinigung zu Recht abgelehnt.</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Bei diesem Ausgang des Verfahrens wären die Kosten dem Beschwerdeführer aufzuerlegen (Art. 63 Abs. 1 VwVG). Nachdem der Instruktionsrichter sein Gesuch um Gewährung der unentgeltlichen Prozessführung gemäss Art. 65 Abs. 1 VwVG mit Zwischenverfügung vom 12. April 2017 guthiess und den Akten keine Hinweise auf eine Veränderung seiner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