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E-2010/2012 vom 16. Dezember 2013</w:t>
      </w:r>
    </w:p>
    <w:p>
      <w:r>
        <w:t>Bundesverwaltungsgericht, 2013-12-16, DE</w:t>
      </w:r>
    </w:p>
    <w:p>
      <w:r>
        <w:rPr>
          <w:b/>
        </w:rPr>
        <w:t xml:space="preserve">Quelle: </w:t>
      </w:r>
      <w:r>
        <w:t>https://mcp.opencaselaw.ch/entscheid/bvger_E-2010_2012</w:t>
      </w:r>
    </w:p>
    <w:p>
      <w:r>
        <w:t>FR: TAF E-2010/2012 du 16 décembre 2013</w:t>
      </w:r>
    </w:p>
    <w:p>
      <w:r>
        <w:t>IT: TAF E-2010/2012 del 16 dicembre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2</w:t>
      </w:r>
    </w:p>
    <w:p>
      <w:r>
        <w:t>Ist der Vollzug der Wegweisung nicht zulässig, nicht zumutbar oder nicht möglich, so wird das Anwesenheitsverhältnis nach den Bestimmungen über die vorläufige Aufnahme nach dem AuG geregelt (Art. 44 Abs. 2 AsylG, Art. 83 Abs. 1 des Bundesgesetzes vom 16. Dezember 2005 über die Ausländerinnen und Ausländer [AuG, SR 142.20]). Das Verfahren richtet sich folglich nach den allgemeinen Bestimmungen der Bundespflege (Art. 112 AuG).</w:t>
      </w:r>
    </w:p>
    <w:p>
      <w:r>
        <w:rPr>
          <w:b/>
        </w:rPr>
        <w:t>E. 2.1</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48 Abs. 1, Art. 50 sowie Art. 52 VwVG). Auf die Beschwerde ist - unter Vorbehalt der nachfolgenden Erwägungen - einzutreten.</w:t>
      </w:r>
    </w:p>
    <w:p>
      <w:r>
        <w:rPr>
          <w:b/>
        </w:rPr>
        <w:t>E. 2.2</w:t>
      </w:r>
    </w:p>
    <w:p>
      <w:r>
        <w:t>Die Beschwerde ist im Verfahren einzelrichterlicher Zuständigkeit mit Zustimmung eines zweiten Richters (bzw. Richterin) zu behandeln, weil sie sich im Ergebnis als offensichtlich begründet erweist (Art. 111 Bst. e AsylG).</w:t>
      </w:r>
    </w:p>
    <w:p>
      <w:r>
        <w:rPr>
          <w:b/>
        </w:rPr>
        <w:t>E. 3</w:t>
      </w:r>
    </w:p>
    <w:p>
      <w:r>
        <w:t>Mit Beschwerde kann die Verletzung von Bundesrecht, die unrichtige oder unvollständige Feststellung des rechtserheblichen Sachverhalts und die Unangemessenheit gerügt werden (Art. 49 VwVG).</w:t>
      </w:r>
    </w:p>
    <w:p>
      <w:r>
        <w:rPr>
          <w:b/>
        </w:rPr>
        <w:t>E. 4</w:t>
      </w:r>
    </w:p>
    <w:p>
      <w:r>
        <w:t>Anfechtungsobjekt im vorliegenden Beschwerdeverfahren ist die Verfügung des BFM vom 8. März 2012 betreffend Aufhebung der vorläufigen Aufnahme des Beschwerdeführers. Streitgegenstand bildet damit einzig die Frage, ob das BFM die am 14. Juni 2010 wegen Unzumutbarkeit des Wegweisungsvollzugs angeordnete vorläufige Aufnahme des Beschwerdeführers zu Recht in Anwendung von Art. 84 Abs. 2 AuG aufgehoben hat. Die Fragen der Flüchtlingseigenschaft und des Asyls waren hingegen nicht Thema des zu überprüfenden erstinstanzlichen Verfahrens und können damit nicht Streitgegenstand des vorliegenden Beschwerdeverfahrens sein. Auf die entsprechenden Beschwerdeanträge auf Feststellung der Flüchtlingseigenschaft und auf Gewährung des Asyls ist deshalb nicht einzutreten. Dementsprechend ist auch auf den Antrag, die Verfügung vom 14. Juni 2010 sei in Wiedererwägung zu ziehen, bzw. es sei ein neues Asylverfahren einzuleiten, nicht einzutreten.</w:t>
      </w:r>
    </w:p>
    <w:p>
      <w:r>
        <w:rPr>
          <w:b/>
        </w:rPr>
        <w:t>E. 5.1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zurückgeschaffte Tamilen seit Wochen in Haft"). Die Vorinstanz geht damit selbst davon aus, dass der Sachverhalt, wie er der Verfügung vom 4. Mai 2012 zugrunde liegt, offensichtlich nicht vollständig festgestellt ist. Denn es besteht kein Zweifel, dass eine neue Lagebeurteilung vor Ort sich auf die konkrete Feststellung des rechtserheblichen Sachverhalts auswirken kann.</w:t>
      </w:r>
    </w:p>
    <w:p>
      <w:r>
        <w:rPr>
          <w:b/>
        </w:rPr>
        <w:t>E. 5.2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5.3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6.1</w:t>
      </w:r>
    </w:p>
    <w:p>
      <w:r>
        <w:t>Bei diesem Ausgang des Verfahrens sind keine Kosten zu erheben (Art. 63 Abs. 1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Kostennote vom 1. Juli 2013 ausgewiesenen zeitlichen Vertretungsaufwand - unter Berücksichtigung des nach Einreichen der Kotennote entstandenen Aufwandes - als nicht vollumfänglich angemessen, weshalb er zu reduzieren ist. Namentlich ist zu berücksichtigen, dass etliche Beweismittel keinen individuellen Bezug zum Beschwerdeführer ausweisen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Unter Berücksichtigung der massgeblichen Bemessungsfaktoren (Art. 9-13 VGKE) und der Entschädigungspraxis in vergleichbaren Fällen ist dem Beschwerdeführer eine Parteientschädigung von Fr. 1'600.-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