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E-2007/2011 vom 14. April 2011</w:t>
      </w:r>
    </w:p>
    <w:p>
      <w:r>
        <w:t>Bundesverwaltungsgericht, 2011-04-14, DE</w:t>
      </w:r>
    </w:p>
    <w:p>
      <w:r>
        <w:rPr>
          <w:b/>
        </w:rPr>
        <w:t xml:space="preserve">Quelle: </w:t>
      </w:r>
      <w:r>
        <w:t>https://mcp.opencaselaw.ch/entscheid/bvger_E-2007_2011</w:t>
      </w:r>
    </w:p>
    <w:p>
      <w:r>
        <w:t>FR: TAF E-2007/2011 du 14 avril 2011</w:t>
      </w:r>
    </w:p>
    <w:p>
      <w:r>
        <w:t>IT: TAF E-2007/2011 del 14 aprile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Verfügung des BFM vom 3. Februar 2011 wird aufgehoben.</w:t>
      </w:r>
    </w:p>
    <w:p>
      <w:r>
        <w:rPr>
          <w:b/>
        </w:rPr>
        <w:t>E. 2</w:t>
      </w:r>
    </w:p>
    <w:p>
      <w:r>
        <w:t>Das BFM wird angewiesen, im Sinne der Erwägungen den rechtserheblichen Sachverhalt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Beschwerdeführenden, das BFM und (...).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