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E-2004/2018 vom 14. Februar 2019</w:t>
      </w:r>
    </w:p>
    <w:p>
      <w:r>
        <w:t>Bundesverwaltungsgericht, 2019-02-14, DE</w:t>
      </w:r>
    </w:p>
    <w:p>
      <w:r>
        <w:rPr>
          <w:b/>
        </w:rPr>
        <w:t xml:space="preserve">Quelle: </w:t>
      </w:r>
      <w:r>
        <w:t>https://mcp.opencaselaw.ch/entscheid/bvger_E-2004_2018</w:t>
      </w:r>
    </w:p>
    <w:p>
      <w:r>
        <w:t>FR: TAF E-2004/2018 du 14 février 2019</w:t>
      </w:r>
    </w:p>
    <w:p>
      <w:r>
        <w:t>IT: TAF E-2004/2018 del 14 febbraio 2019</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Gemäss Art. 111a Abs. 1 AsylG verzichtet das Bundesverwaltungsgericht auf einen Schriftenwechsel.</w:t>
      </w:r>
    </w:p>
    <w:p>
      <w:r>
        <w:rPr>
          <w:b/>
        </w:rPr>
        <w:t>E. 3.1</w:t>
      </w:r>
    </w:p>
    <w:p>
      <w:r>
        <w:t>Gemäss Art. 51 AsylG, mit der Marginalie "Familienasyl",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(vgl. BVGE 2012/32 E. 5).</w:t>
      </w:r>
    </w:p>
    <w:p>
      <w:r>
        <w:rPr>
          <w:b/>
        </w:rPr>
        <w:t>E. 3.2</w:t>
      </w:r>
    </w:p>
    <w:p>
      <w:r>
        <w:t>Wer um die Erteilung einer Einreisebewilligung zwecks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3.3</w:t>
      </w:r>
    </w:p>
    <w:p>
      <w:r>
        <w:t>Gemäss Rechtsprechung der vormaligen Schweizerischen Asylrekurskommission (ARK), die vom Bundesverwaltungsgericht weitergeführt wird, werden unter dem Begriff der minderjährigen Kinder im Sinne von Art. 51 Abs. 1 AsylG nicht nur die gemeinsamen Kinder der Ehegatten, sondern ebenso die Stief- und Adoptivkinder und andere subsumiert, da diese Norm nach ihrer ratio legis die Herstellung eines einheitlichen Rechtsstatus innerhalb der Kernfamilie bezweckt (vgl. bereits Entscheidungen und Mitteilungen der vormaligen Schweizerischen Asylrekurskommission (EMARK) 1997 Nr. 1 E. 5b und 2000 Nr. 22).</w:t>
      </w:r>
    </w:p>
    <w:p>
      <w:r>
        <w:rPr>
          <w:b/>
        </w:rPr>
        <w:t>E. 4</w:t>
      </w:r>
    </w:p>
    <w:p>
      <w:r>
        <w:t>Auf Beschwerdeebene wird der angefochtenen Verfügung (siehe hierzu vorstehend Bst. F) entgegengestellt, die Beschwerdeführerin habe ihren Ehemann seit ihrer Kindheit gekannt. Sie hätten sich im Jahr (...) verliebt, als sie gemeinsam in Sawa gewesen seien, hätten aber erst am (...) geheiratet, weil er noch (...) habe und sie zunächst von seiner Familie nicht akzeptiert worden sei. Ihr Mann sei damals im Dienst gewesen und habe für die Hochzeit keinen Urlaub bekommen. Bereits am Tag nach der Hochzeit sei er von Leuten des Ministeriums abgeholt worden, wonach sie nichts mehr über ihn in Erfahrung habe bringen können. Erst auf ihrer Flucht habe sie wieder Kontakt zu ihm aufbauen können; zu dieser Zeit habe er sich bereits in Äthiopien befunden. Vorliegend habe zwar die unmittelbare und unfreiwillige Trennung des Ehepaares die Möglichkeit eines Ehelebens verhindert. Wesentlich sei indessen, dass sie bereits Jahre zuvor eine gemeinsam gelebte Beziehung geführt und mit der Eheschliessung darauf abgezielt hätten, zukünftig ein gemeinsames Eheleben zu führen. Der Ehemann sei am (...) aus Eritrea geflüchtet, die Beschwerdeführerin rund einen Monat später. Zudem anerkenne die Vorinstanz diese Familiengemeinschaft. Dies sei daraus abzuleiten, dass die Vorinstanz die Vorbringen der Beschwerdeführerin im Zusammenhang mit ihrem Ehemann als glaubhaft eingestuft und ihr gestützt hierauf Asyl gewährt habe. Was C._______ anbelange, sei dieser der Sohn der Tante der Beschwerdeführerin. Die Tante sei im (...) verstorben, was ebenfalls belegt worden sei. Daraufhin habe die Beschwerdeführerin den damals dreimonatigen C._______ bei sich aufgenommen, der seither bei ihr gelebt habe. Dadurch sei eine starke Mutter-Kind-Beziehung aufgebaut worden. Über den leiblichen Vaters von C._______ gebe es keine Informationen. Die Beschwerdeführerin habe fluchtartig das Land verlassen müssen. C._______ sei bei einer Freundin der Beschwerdeführerin zurückgeblieben. In Eritrea sei es eine allgemein verbreitete Gepflogenheit, dass verwaiste Kinder von der Familie aufgenommen und aufgezogen würden. Diese Kinder seien gewohnheitsrechtlich - aber nicht im zivilrechtlichen Sinne - "adoptiert". Das neue Familienrecht in Eritrea sehe zwar eine formelle Adoption vor, dies sei den eritreischen Bürgern aber noch fremd und werde deshalb für Kinder aus der eigenen Familie nicht angewandt, was auch dem zitierten Artikel des UNICEF (United Nations Children's Fund) zu entnehmen sei.</w:t>
      </w:r>
    </w:p>
    <w:p>
      <w:r>
        <w:rPr>
          <w:b/>
        </w:rPr>
        <w:t>E. 5.1</w:t>
      </w:r>
    </w:p>
    <w:p>
      <w:r>
        <w:t>Die Vorinstanz hat - gestützt auf Art. 51 Abs. 4 AsylG - die Gesuche um Einreise in die Schweiz des Ehemanns und des Kindes zwecks Familienvereinigung abgewiesen. Im Zentrum ihrer Argumentation steht eine fehlende Familiengemeinschaft vor der Flucht. Vorliegend haben indes die Beschwerdeführerin und ihr Ehemann bereits vor der Hochzeit eine gefestigte Beziehung gelebt. Die Hochzeit ist belegt und wird von der Vorinstanz auch nicht in Frage gestellt. Offensichtlich wurde die Ehe der Beschwerdeführerin und ihres Ehemannes auch vom eritreischen Staat als Gemeinschaft betrachtet, ansonsten die eritreischen Behörden nicht die Beschwerdeführerin wegen ihres Ehemannes aufgesucht und misshandelt hätten. Gestützt hierauf gewährte die Vorinstanz der Beschwerdeführerin sodann auch Asyl. Die Tatsache, dass sie aufgrund der militärischen Ausbildung, des Studiums und der familiären Divergenzen nicht zusammenleben konnten, erweist sich als ehrliche Sachverhaltsschilderung und kann der Beschwerdeführerin vorliegend nicht zu ihren Ungunsten ausgelegt werden. Wegen der geschilderten Umstände war ein Zusammenleben im rechtlichen Sinne zwar nicht möglich, indessen konnte die Beschwerdeführerin eine gefestigte Beziehung glaubhaft darlegen und diese anhand der umfangreichen Beweismittel belegen. Ferner hat sie die Familie und die Familiengeschichte bereits in der Befragung zur Person (BzP) kohärent geschildert und ihr erstes Gesuch um Familienzusammenführung unmittelbar nach Erhalt ihres positiven Asylentscheids gestellt, womit sie zum Ausdruck gebracht hat, dass sie die Familiengemeinschaft sobald als möglich wiederherstellen möchte. Zudem steht sie in regelmässigem Kontakt zu ihrem Ehemann. Von einer Aufgabe der Beziehung kann folglich nicht ausgegangen werden (vgl. hierzu Urteil des BVGer E-6312/2016 vom 27. November 2017 insb. E. 5.2). Es kann mithin vorliegend von einer gelebten Ehegemeinschaft ausgegangen werden, die einen Familiennachzug gestützt auf Art. 51 Abs. 4 AsylG ermöglicht.</w:t>
      </w:r>
    </w:p>
    <w:p>
      <w:r>
        <w:rPr>
          <w:b/>
        </w:rPr>
        <w:t>E. 5.2</w:t>
      </w:r>
    </w:p>
    <w:p>
      <w:r>
        <w:t>Zu prüfen bleibt, ob die Vorinstanz zu Recht C._______ nicht als zur Kernfamilie gehörend betrachtet hat. Im Zentrum ihrer Argumentation führt sie aus, die geltend gemachte Adoption sei nicht durch eine formal rechtlich durchgeführte und durch die eritreischen Behörden verfügte Adoption rechtsgenüglich nachgewiesen worden. Vorab ist daran zu erinnern, dass im Bereich des Familienasyls ein strikter Beweis der relevanten Sachverhaltselemente ebenfalls nur insoweit gefordert wird, als ein solcher möglich ist; ist dies nicht der Fall, genügt die Glaubhaftmachung (Art. 7 Abs. 1 AsylG). Aus dem auf Beschwerdeebene zitierten Artikel des UNICEF geht hervor, dass im eritreischen Kontext ein Unterschied zwischen Adoption (adoption) und Wiedervereinigung (reunification) gemacht wurde (UNICEF Eritrea, An annotated glossary of child protection programme interventions in Eritrea, Dezember 2012). In Eritrea gebe es geschätzte 105'000 Waisenkinder aufgrund von Aids, Tod der Eltern, Einflüsse des Krieges oder minderjähriger Schwangerschaft. Für diese Kinder gebe es in Eritrea zwei Möglichkeiten. Entweder sie könnten wiedervereint mit ihren biologischen Eltern oder anderen Blutsverwandten werden oder sie könnten - bei fehlender Blutsverwandtschaft - im Sinne des eritreischen Zivilgesetzbuches adoptiert werden (ebd., S. 13). Es ist der Vorinstanz darin beizupflichten, dass die Adoption im neuen eritreischen Zivilgesetzbuch klar geregelt ist, wobei gemäss Landinfo im Jahr 2017 noch unklar gewesen sei, ob und inwieweit dieses bereits angewendet werde (https://landinfo.no/wp-content/uploads/2018/03/Respons-Eritrea-Legalisering-av-ekteskapsattester-05042017.pdf, besucht am 4. Februar 2019). Ferner weist die Statistik derart wenig Adoptionen auf, was darauf schliessen lässt, dass längst nicht alle Adoptionen rechtlich geregelt und registriert werden (von 2008 bis 2010 lediglich 10, von 2005 bis 2007 lediglich 5 registrierte Adoptionen in ganz Eritrea, The State of Eritrea, Consolidated First, Second, Third and Fourth Periodic National Reports on the Implementation of the African Charter on the Rights and Welfare of the Child [ACRWC], Asmara, Mai 2015, S. 100 und S. 150). Das Bundesverwaltungsgericht stellte sodann auch fest, dass Adoptionen von minderjährigen Kindern von nahen Verwandten normalerweise nicht gerichtlich geregelt würden. In dem damals zu beurteilenden Fall liess das Gericht ein Schreiben des Verwaltungsbüros über das Sorgerecht genügen (Urteil des BVGer E-3093/2016 vom 21. Dezember 2016 insb. E. 5.4.1). In Anbetracht der Ausführungen anlässlich der Befragungen - namentlich, dass die Beschwerdeführerin bereits in der Befragung zur Person ausgeführt hat, sie sei zusammen mit ihrer Tante aufgewachsen deren Kind sie nach deren frühen Tod grossgezogen habe (SEM-Akten, A4, S. 5) - und der umfangreichen Beweismittel, geht das Gericht davon aus, dass der damals dreimonatige C._______ nach dem Tod seiner Mutter von der Beschwerdeführerin als ihr Kind grossgezogen wurde und damit zur Kernfamilie der Beschwerdeführerin gehört. Die Familieneinheit wurde durch die Flucht getrennt, womit das Familiennachzugsgesuch der Wiedervereinigung einer durch Flucht getrennten Familie dient. Nachdem die anspruchsbegründenden Sachverhaltsmomente bereits aufgrund der vorliegenden Aktenlage als glaubhaft gemacht zu erkennen sind (Art. 7 AsylG), bedarf es weder weiterer Abklärungen zur Sache noch zusätzlicher Erwägungen.</w:t>
      </w:r>
    </w:p>
    <w:p>
      <w:r>
        <w:rPr>
          <w:b/>
        </w:rPr>
        <w:t>E. 6</w:t>
      </w:r>
    </w:p>
    <w:p>
      <w:r>
        <w:t>Nach vorstehenden Erwägungen ist die angefochtene Verfügung in Gutheissung der Beschwerde aufzuheben und die Vorinstanz anzuweisen, B._______ und C._______ die Einreise in die Schweiz zu bewilligen und in das der Beschwerdeführerin gewährte Asyl miteinzubeziehen, sofern B._______ die Flüchtlingseigenschaft nicht selbstständig nach Art. 3 AsylG erfüllt (Art. 37 AsylV1).</w:t>
      </w:r>
    </w:p>
    <w:p>
      <w:r>
        <w:rPr>
          <w:b/>
        </w:rPr>
        <w:t>E. 7.1</w:t>
      </w:r>
    </w:p>
    <w:p>
      <w:r>
        <w:t>Bei diesem Ausgang des Verfahrens sind keine Kosten zu erheben (Art. 63 Abs. 3 VwVG i.V.m. Art. 37 VGG).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750.- zuzusprechen.</w:t>
      </w:r>
    </w:p>
    <w:p>
      <w:r>
        <w:rPr>
          <w:b/>
        </w:rPr>
        <w:t>E. 7.3</w:t>
      </w:r>
    </w:p>
    <w:p>
      <w:r>
        <w:t>Die Gesuche um Gewährung der unentgeltliche Rechtsverbeiständung und um Verzicht der Erhebung eines Kostenvorschusses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