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E-2003/2021 vom 6. Mai 2021</w:t>
      </w:r>
    </w:p>
    <w:p>
      <w:r>
        <w:t>Bundesverwaltungsgericht, 2021-05-06, DE</w:t>
      </w:r>
    </w:p>
    <w:p>
      <w:r>
        <w:rPr>
          <w:b/>
        </w:rPr>
        <w:t xml:space="preserve">Quelle: </w:t>
      </w:r>
      <w:r>
        <w:t>https://mcp.opencaselaw.ch/entscheid/bvger_E-2003_2021</w:t>
      </w:r>
    </w:p>
    <w:p>
      <w:r>
        <w:t>FR: TAF E-2003/2021 du 6 mai 2021</w:t>
      </w:r>
    </w:p>
    <w:p>
      <w:r>
        <w:t>IT: TAF E-2003/2021 del 6 maggio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2.1</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2.2</w:t>
      </w:r>
    </w:p>
    <w:p>
      <w:r>
        <w:t>Gestützt auf Art. 111a Abs. 1 AsylG wurde auf die Durchführung eines Schriftenwechsels verzichtet.</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4.2</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5.1</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des rechtlichen Gehörs beinhaltet, dass die Vorbringen des vom Entscheid in seiner Rechtsstellung Betroffenen sorgfältig sowie ernsthaft geprüft und in der Entscheidfindung berücksichtigt werden (Art. 32 Abs. 1 VwVG). Zudem müssen die angebotenen Beweismittel abgenommen werden, wenn sie zur Abklärung des Sachverhalts tauglich erscheinen (Art. 33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(vgl. BVGE 2009/35 E. 6.4.1 m.w.H.). Gemäss Art. 12 VwVG stellt die Behörde den Sachverhalt von Amtes wegen fest und bedient sich nötigenfalls der unter dieser Norm aufgelisteten Beweismittel. Die unrichtige oder unvollständige Feststellung des rechtserheblichen Sachverhalts in Verletzung der Untersuchungspflicht bildet einen Beschwerdegrund (Art. 106 Abs. 1 Bst. b AsylG). Unrichtig ist die Sachverhaltsfeststellung, wenn der Verfügung ein falscher und aktenwidriger Sachverhalt zugrunde gelegt wird; unvollständig ist sie, wenn nicht alle für den Entscheid rechtswesentlichen Sachumstände berücksichtigt werden (vgl. KÖLZ/HÄNER/BERTSCHI, Verwaltungsverfahren und Verwaltungsrechtspflege des Bundes, 3. Aufl. 2013, Rz. 1043).</w:t>
      </w:r>
    </w:p>
    <w:p>
      <w:r>
        <w:rPr>
          <w:b/>
        </w:rPr>
        <w:t>E. 5.2</w:t>
      </w:r>
    </w:p>
    <w:p>
      <w:r>
        <w:t>Vorliegend ergibt sich, dass die Rechtsvertretung in ihrer Eingabe vom 20. April 2021 an das SEM als Beweismittel eine Kopie der älteren Tazkira ihres Mandanten mit Ausstellungsdatum vom (...) 2020 einreichte und Ausführungen zur geltend gemachten Minderjährigkeit machte. Sie beantragte, das Geburtsdatum des Beschwerdeführers im ZEMIS sei auf den (...) anzupassen. Eventualiter sei der Bestreitungsvermerk weiterhin zu führen. Des Weiteren sei im Berichtigungsverfahren zur Änderung des Geburtsdatums eine anfechtbare ZEMIS-Verfügung zu erlassen. Alternativ dazu sei die Änderung der Personendaten des Beschwerdeführers im ZEMIS spätestens im Endentscheid mit einer eigenen Dispositivziffer zu verfügen. Zudem werde Akteneinsicht in das Protokoll der EB beantragt, weil es sich um eine verfahrensrelevante Akte handle. Gleichzeitig ersuchte sie um Beantwortung sämtlicher gestellter Anträge bis zum 28. April 2021. Im Antwortschreiben vom 22. April 2021 teilte das SEM der Rechtsvertretung mit, am 20. April 2021 sei ein Nichteintretensentscheid gefällt worden, der ihr am 22. April 2021 eröffnet worden sei. Ein Bestreitungsvermerk sei im ZEMIS gesetzt worden. Auf die übrigen Anträge werde anlässlich des Nichteintretensentscheides Dublin vertieft eingegangen. Gegen den Entscheid könne innerhalb von fünf Arbeitstagen beim Bundesverwaltungsgericht Beschwerde erhoben werden. Eine Durchsicht des Nichteintretensentscheides vom 20. April 2021 ergibt indessen, dass dort weder eine Auseinandersetzung mit dem neu eingereichten Beweismittel (Kopie der älteren Tazkira) noch mit den Anträgen in der Eingabe vom 20. April 2021 stattgefunden hat. Damit hat das SEM ein zur Abklärung des Sachverhalts tauglich erscheinendes Beweismittel nicht abgenommen und durch die Nichtberücksichtigung der Anträge das rechtliche Gehör des Beschwerdeführers verletzt. Hinzu kommt, dass in der Verfügung vom 20. April 2021 eine Dispositivziffer betreffend erfolgter Änderung der Personendaten des Beschwerdeführers im ZEMIS fehlt, die mittels Beschwerde beim Bundesverwaltungsgericht angefochten werden könnte. Im Nichteintretensentscheid wird zum Antrag auf Erlass einer anfechtbaren Zwischenverfügung in der Stellungnahme der Rechtsvertretung vom 31. März 2021 lediglich ausgeführt, es sei keine solche erlassen worden, weil die Glaubhaftigkeit der Minderjährigkeit des Beschwerdeführers Gegenstand der Prüfung im Endentscheid sei und mit diesem zusammen anfechtbar sei. Somit hat die Vorinstanz dadurch, dass sie es unterlassen hat, im Nichteintretensentscheid vom 20. April 2021 eine anfechtbare Dispositivziffer betreffend Änderung der Personendaten im ZEMIS zu erlassen, eine Rechtsverweigerung begangen.</w:t>
      </w:r>
    </w:p>
    <w:p>
      <w:r>
        <w:rPr>
          <w:b/>
        </w:rPr>
        <w:t>E. 5.3</w:t>
      </w:r>
    </w:p>
    <w:p>
      <w:r>
        <w:t>Zusammenfassend ist festzustellen, dass die Vorinstanz den Sachverhalt unvollständig respektive unrichtig festgestellt hat. Gleichzeitig hat sie auch das rechtliche Gehör des Beschwerdeführers verletzt und eine Rechtsverweigerung begangen.</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Einer Kassation und Rückweisung kommt unter Umständen auch die Funktion zu, die Vorinstanz auf ihre verfahrensrechtlichen Pflichten aufmerksam zu machen (vgl. BVGE 2012/21 E. 5).</w:t>
      </w:r>
    </w:p>
    <w:p>
      <w:r>
        <w:rPr>
          <w:b/>
        </w:rPr>
        <w:t>E. 6.2</w:t>
      </w:r>
    </w:p>
    <w:p>
      <w:r>
        <w:t>Es kann nicht Aufgabe des Gerichts sein, vom SEM nicht abgenommene Beweismittel zu prüfen und solch grundlegende Fragen zum Sachverhalt als erste Instanz zu klären. Darüber hinaus fällt ins Gewicht, dass die Partei eine Instanz verlöre, wenn das Gericht die Grundlagen des rechtserheblichen Sachverhalts nicht nur ergänzen, sondern gleichsam wie eine erste Instanz erheben würde. Das Bundesverwaltungsgericht hat demnach von eigenen Sachverhaltsfeststellungen, die über eine blosse Ergänzung und Erwahrung des rechtserheblichen Sachverhalts hinausreichen, abzusehen (BVGE 2012/21 E. 5; ferner Urteile des Bundesverwaltungsgerichts E-1511/2018 vom 1. Mai 2018 E. 4.2, E-4220/2015 vom 7. Dezember 2017 E. 6.2 und E-1254/2015 E. 5.2 vom 9. November 2017). Zudem hat die Vorinstanz dadurch, dass sie die Anträge in der Eingabe vom 20. April 2021 unberücksichtigt gelassen hat, das rechtliche Gehör des Beschwerdeführers verletzt und mangels beantragter anfechtbarer Dispositivziffer in der angefochtenen Verfügung zur Änderung der Personendaten im ZEMIS eine Rechtsverweigerung begangen.</w:t>
      </w:r>
    </w:p>
    <w:p>
      <w:r>
        <w:rPr>
          <w:b/>
        </w:rPr>
        <w:t>E. 7.1</w:t>
      </w:r>
    </w:p>
    <w:p>
      <w:r>
        <w:t>Nach dem Gesagten ist die Beschwerde gutzuheissen. Die Verfügung vom 20. April 2021 ist aufzuheben. Die Sache ist zur vollständigen sowie richtigen Feststellung des Sachverhaltes, zur Gewährung des rechtlichen Gehörs und zu neuem Entscheid betreffend Überstellung im Rahmen der Dublin-III-Verordnung sowie zu neuem separaten Entscheid betreffend Änderung der Personendaten im ZEMIS an das SEM zurückzuweisen.</w:t>
      </w:r>
    </w:p>
    <w:p>
      <w:r>
        <w:rPr>
          <w:b/>
        </w:rPr>
        <w:t>E. 7.2</w:t>
      </w:r>
    </w:p>
    <w:p>
      <w:r>
        <w:t>Angesichts der Rückweisung der Sache an die Vorinstanz erübrigt sich eine Auseinandersetzung mit den Ausführungen in der Beschwerde und den eingereichten Beilagen (unter anderem Arztbericht vom 28. April 2021), zumal sie ebenfalls Gegenstand des wiederaufzunehmenden erstinstanzlichen Verfahrens sein werden und die Vorinstanz sich damit zu befassen haben wird.</w:t>
      </w:r>
    </w:p>
    <w:p>
      <w:r>
        <w:rPr>
          <w:b/>
        </w:rPr>
        <w:t>E. 8</w:t>
      </w:r>
    </w:p>
    <w:p>
      <w:r>
        <w:t>Mit vorliegendem Urteil wird der Antrag auf Verzicht auf die Erhebung eines Kostenvorschusses hinfällig.</w:t>
      </w:r>
    </w:p>
    <w:p>
      <w:r>
        <w:rPr>
          <w:b/>
        </w:rPr>
        <w:t>E. 9.1</w:t>
      </w:r>
    </w:p>
    <w:p>
      <w:r>
        <w:t>Bei diesem Ausgang des Verfahrens sind keine Kosten zu erheben (Art. 63 Abs. 1 und 2 VwVG), womit der Antrag auf Gewährung der unentgeltlichen Prozessführung im Sinne von Art. 65 Abs. 1 VwVG gegenstandslos wird.</w:t>
      </w:r>
    </w:p>
    <w:p>
      <w:r>
        <w:rPr>
          <w:b/>
        </w:rPr>
        <w:t>E. 9.2</w:t>
      </w:r>
    </w:p>
    <w:p>
      <w:r>
        <w:t>Es ist keine Parteientschädigung auszurichten, da es sich vorliegend um eine zugewiesene unentgeltliche Rechtsvertretung im Sinne von Art. 102h AsylG handelt, deren Leistungen vom Bund nach Massgabe von Art. 102k AsylG entschädigt werden (vgl. auch Art. 111aterAsylG).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