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E-199/2017 vom 2. März 2017</w:t>
      </w:r>
    </w:p>
    <w:p>
      <w:r>
        <w:t>Bundesverwaltungsgericht, 2017-03-02, DE</w:t>
      </w:r>
    </w:p>
    <w:p>
      <w:r>
        <w:rPr>
          <w:b/>
        </w:rPr>
        <w:t xml:space="preserve">Quelle: </w:t>
      </w:r>
      <w:r>
        <w:t>https://mcp.opencaselaw.ch/entscheid/bvger_E-199_2017</w:t>
      </w:r>
    </w:p>
    <w:p>
      <w:r>
        <w:t>FR: TAF E-199/2017 du 2 mars 2017</w:t>
      </w:r>
    </w:p>
    <w:p>
      <w:r>
        <w:t>IT: TAF E-199/2017 del 2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wurde zugunsten einer vorläufigen Aufnahme aufgeschoben und bildet deshalb nicht mehr Gegenstand des Beschwerdeverfahrens.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zum Schluss, der Beschwerdeführer habe glaubhaft machen können, im Militärdienst gewesen zu sein, die Desertion und die geltend gemachte illegale Ausreise seien indes unglaubhaft ausgefallen. So fehle es den Schilderungen zur Desertion an Realkennzeichen und gingen diese nicht über Auswendiggelerntes hinaus. Zudem widerspreche sich der Beschwerdeführer dazu, ob er vor oder nach der (...) nach B._______ verlegt worden sei. Antworten auf die Frage, was vor, während oder nach dem Telefonat geschehen sei, seien ausgeblieben. Sodann habe er in der Erstbefragung das Nachreichen seines Militärdienstausweises in Aussicht gestellt, einen solchen jedoch gemäss Zweitbefragung nie besessen. Im Übrigen würden die weiteren Vorbringen - Entzug der Rationskarten und Haft wegen (...) - den Anforderungen an die Flüchtlingseigenschaft nicht standhalten.</w:t>
      </w:r>
    </w:p>
    <w:p>
      <w:r>
        <w:rPr>
          <w:b/>
        </w:rPr>
        <w:t>E. 4.2</w:t>
      </w:r>
    </w:p>
    <w:p>
      <w:r>
        <w:t>Der Beschwerdeführer bringt hiergegen im Wesentlichen vor, die Befragerin habe ihn unter Druck gesetzt und er sei teilweise völlig grundlos unterbrochen worden. Es gehe aus der vorinstanzlichen Verfügung nicht hervor, welchen seiner Schilderungen es genau an Realkennzeichen fehle. Weiter stimme es zwar, dass er nach der Erwähnung der (...) "nach dieser (...)" gesagt habe. Als er indes nochmals darauf angesprochen worden sei, habe er dies korrigiert. Ebenso habe er darauf geantwortet, was er nach dem Telefonat gemacht habe. Im Übrigen sei es verständlich, dass er die Monate verwechselt habe, weil man diese in Eritrea nur selten nenne. Was die illegale Ausreise anbelange, so habe er - entgegen den vorinstanzlichen Ausführungen - die ganze Ausreise ab B._______ ausdrücklich und sehr detailliert geschildert.</w:t>
      </w:r>
    </w:p>
    <w:p>
      <w:r>
        <w:rPr>
          <w:b/>
        </w:rPr>
        <w:t>E. 5.1</w:t>
      </w:r>
    </w:p>
    <w:p>
      <w:r>
        <w:t>Den von der Vorinstanz gemachten Erwägungen kann nicht gefolgt werden. Diese geht einerseits von der Glaubhaftigkeit des geleisteten Militärdienstes und andererseits von der Unglaubhaftigkeit der Desertion sowie der illegalen Ausreise aus. Sie führt zu den Vorfluchtgründen lediglich drei nicht stichhaltige Widersprüche an und verneint Realkennzeichen.</w:t>
      </w:r>
    </w:p>
    <w:p>
      <w:r>
        <w:rPr>
          <w:b/>
        </w:rPr>
        <w:t>E. 5.2</w:t>
      </w:r>
    </w:p>
    <w:p>
      <w:r>
        <w:t>Der Beschwerdeführer habe mit einer gewissen Fülle an Information über die (...) berichtet, widerspreche sich aber dazu ob er vor oder nach der (...) verlegt worden sei (angefochtene Verfügung, S. 3). Dies ist indes vielmehr auf eine Ungenauigkeit der Übersetzung und der Chronologie des Erzählens im freien Redefluss zurückzuführen. So ist nicht auszuschliessen, dass mit "dieser" (...) die (...) gemeint war, zumal in einer freien Erzählung auf verschiedene Ereignisse Bezug genommen wird. Auch hat der Beschwerdeführer in derselben Befragung ausdrücklich gesagt, er sei vor der (...) weggeschickt worden und schliesslich hat er übereinstimmend ausgeführt, er selbst sei bei der (...) nicht anwesend gewesen. Weiter führt die Vorinstanz an, was den warnenden Telefonanruf anbelange, sei unbeantwortet geblieben, was um diesen herum geschehen sei und das angegebene Datum sei falsch (angefochtene Verfügung, S. 3). Dass der Beschwerdeführer an nur einer Stelle der über fünf Stunden dauernden Zweitbefragung "April" mit "März" vertauscht hat, fällt indes nicht ins Gewicht. Hinzu kommt, dass er unmittelbar danach die Chance ergriffen hat, sich zu korrigieren. Vor dem Hintergrund der bereits erlebten Haft und den anlässlich der (...) erhobenen Vorwürfe ist ebenso nachvollziehbar, dass er seine Ausreiseorganisation auf eine rein telefonische Warnung stützt. Ferner ist der Beschwerde beizupflichten, dass der Beschwerdeführer sehr wohl die Frage betreffend Telefonat beantwortet hat (Beschwerde S. 5, SEM-Akten, A16, S. 17 f., F149 f.). Der entsprechende Telefonanruf reiht sich auch widerspruchslos in die bisherigen Vorbringen ein. Schliesslich habe der Beschwerdeführer anlässlich der Erstbefragung das Nachreichen seines Militärdienstausweises in Aussicht gestellt, jedoch einen solchen gemäss Zweitbefragung nie besessen (angefochtene Verfügung, S. 4). Es ist indes nicht ausschliessbar, dass der Beschwerdeführer mit dem in Aussichtstellen eines "Militärausweises" den militärischen Passierschein meinte und der Übersetzer stattdessen "Militärdienstausweis" übersetzte.</w:t>
      </w:r>
    </w:p>
    <w:p>
      <w:r>
        <w:rPr>
          <w:b/>
        </w:rPr>
        <w:t>E. 5.3</w:t>
      </w:r>
    </w:p>
    <w:p>
      <w:r>
        <w:t>Was die Realkennzeichen anbelangt, hat die Vorinstanz deren Vorliegen offensichtlich übersehen. So führt der Beschwerdeführer ausführlich und überzeugend aus, wie er zunächst in einer privilegierten Dienstpflicht stand und wie er diese Privilegien dann verloren hat; eine komplexe Vorgeschichte mit Details. Gleiches gilt für die Schilderungen der anfänglichen Verweigerung des Militärdiensts (z. B. genaue Ausführungen zu den Rationskarten, deren Entzug und Rückgabe), des (...) sowie den daraus resultierenden Folgen, das Fernbleiben von der Einheit, insbesondere die anschliessende Gefangenschaft sowie die Beschreibungen der Mitgefangenen. Realkennzeichen finden sich ferner betreffend die Schilderungen zur Rückkehr nach der Haft zu seiner Einheit im Laufe des Jahres (...) beziehungsweise Anfang (...) und zu seinem Vorhaben, sich nun an alle Regeln halten zu wollen. Der entsprechende Telefonanruf und die illegale Ausreise weisen ebenfalls eine genügend hohe Dichte an Realkennzeichen auf.</w:t>
      </w:r>
    </w:p>
    <w:p>
      <w:r>
        <w:rPr>
          <w:b/>
        </w:rPr>
        <w:t>E. 5.4</w:t>
      </w:r>
    </w:p>
    <w:p>
      <w:r>
        <w:t>Der Beschwerdeführer hat insgesamt glaubhaft ausgesagt. Dies gilt sowohl betreffend die Vorfluchtgründe (Militärdienst und Desertion) als auch die Nachfluchtgründe (illegale Ausreise). Zusammenfassend ist festzuhalten, dass die Vorinstanz überspannte Anforderungen an das Glaubhaftmachen im Sinne von Art. 7 AsylG gestellt und damit Bundesrecht verletzt hat.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Die Anerkennung der Flüchtlingseigenschaft setzt zudem voraus, dass die betroffene Person einer landesweiten Verfolgung ausgesetzt ist und sich nicht in einem anderen Teil ihres Heimatstaates in Schutz bringen kann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6.2</w:t>
      </w:r>
    </w:p>
    <w:p>
      <w:r>
        <w:t>Anhand der erfolgten Beweiswürdigung ist von folgendem Sachverhalt auszugehen: Der (...) Beschwerdeführer hat im Jahr (...) die Schule abgebrochen und wurde von der Verwaltung zum Militärdienst aufgefordert. Weil er dieser Aufforderung nicht gleich Folge leistete, wurden die Rationskarten seiner Familie zunächst eingezogen. Nachdem er im (...) dann doch dieser Aufforderung nachkam, wurden diese wieder zurückgegeben. Er wurde ein Jahr inhaftiert, weil er (...). Danach kehrte er zu seiner Einheit zurück, desertierte, wurde festgenommen, erneut inhaftiert und nach (...) Haft zu seiner Einheit zurückgeschickt. Dort wurden ihm Unregelmässigkeiten in der Buchführung vorgeworfen. Im Rahmen (...) wurde dieser Buchführungsfehler besprochen, woraufhin der Beschwerdeführer telefonisch gewarnt wurde, dass ihm die Schuld hierzu gegeben werde und er deshalb erneut inhaftiert werde. Um dies zu verhindern, hat er Eritrea illegal verlassen.</w:t>
      </w:r>
    </w:p>
    <w:p>
      <w:r>
        <w:rPr>
          <w:b/>
        </w:rPr>
        <w:t>E. 6.3</w:t>
      </w:r>
    </w:p>
    <w:p>
      <w:r>
        <w:t>Nach dem Gesagten hat der Beschwerdeführer im Falle seiner Rückkehr in sein Heimatland begründete Furcht vor ernsthaften Nachteilen. Die Voraussetzungen von Art. 3 und 7 AsylG sind mithin erfüllt. Zur illegalen Ausreise konnte er einen zusätzlichen Anknüpfungspunkt glaubhaft machen (unerlaubtes Fernbleiben der Einheit zum Zeitpunkt der Ausreise). Dies führt zur Verschärfung des Profils und dadurch auch nach jüngster Rechtsprechung des Bundesverwaltungsgerichts zu einer flüchtlingsrechtlich relevanten Verfolgungsgefahr (Urteil des BVGer D-7898/2015 vom 30. Januar 2017 E. 5.2, zur Publikation vorgesehen). Aus den Akten ergeben sich sodann keine konkreten Hinweise auf das Vorliegen von Asylausschlussgründen. Auch eine innerstaatliche Fluchtalternative besteht offensichtlich nicht.</w:t>
      </w:r>
    </w:p>
    <w:p>
      <w:r>
        <w:rPr>
          <w:b/>
        </w:rPr>
        <w:t>E. 7</w:t>
      </w:r>
    </w:p>
    <w:p>
      <w:r>
        <w:t>Zusammenfassend ergibt sich, dass die Voraussetzungen von Art. 3 und 7 AsylG erfüllt sind. Die Beschwerde ist gutzuheissen, die angefochtene Verfügung aufzuheben und das SEM ist anzuweisen, die Flüchtlingseigenschaft des Beschwerdeführers festzustellen und ihm Asyl zu gewähren.</w:t>
      </w:r>
    </w:p>
    <w:p>
      <w:r>
        <w:rPr>
          <w:b/>
        </w:rPr>
        <w:t>E. 8.1</w:t>
      </w:r>
    </w:p>
    <w:p>
      <w:r>
        <w:t>Bei diesem Ausgang des Verfahrens sind keine Kosten zu erheben (Art. 63 Abs. 1 und 2 VwVG). Die Anträge um unentgeltliche Rechtspflege und Verzicht auf Erhebung eines Kostenvorschusses sind mit dem vorliegenden Urteil gegenstandslos geworden.</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600.-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