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E-1998/2015 vom 19. Juni 2015</w:t>
      </w:r>
    </w:p>
    <w:p>
      <w:r>
        <w:t>Bundesverwaltungsgericht, 2015-06-19, DE</w:t>
      </w:r>
    </w:p>
    <w:p>
      <w:r>
        <w:rPr>
          <w:b/>
        </w:rPr>
        <w:t xml:space="preserve">Quelle: </w:t>
      </w:r>
      <w:r>
        <w:t>https://mcp.opencaselaw.ch/entscheid/bvger_E-1998_2015</w:t>
      </w:r>
    </w:p>
    <w:p>
      <w:r>
        <w:t>FR: TAF E-1998/2015 du 19 juin 2015</w:t>
      </w:r>
    </w:p>
    <w:p>
      <w:r>
        <w:t>IT: TAF E-1998/2015 del 19 giugno 2015</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Die Beschwerdeführerin ist als Verfügungsadressatin zur Beschwerdeführung legitimiert (Art. 48 VwVG). Auf die frist- und formgerecht eingereichte Beschwerde ist einzutreten (Art. 108 Abs. 1 AsylG und Art. 52 Abs. 1 VwVG).</w:t>
      </w:r>
    </w:p>
    <w:p>
      <w:r>
        <w:rPr>
          <w:b/>
        </w:rPr>
        <w:t>E. 2.1</w:t>
      </w:r>
    </w:p>
    <w:p>
      <w:r>
        <w:t>Das Bundesverwaltungsgericht überprüft die angefochtene Verfügung in Asylsachen auf Verletzung von Bundesrecht sowie unrichtige oder unvollständige Feststellung des rechtserheblichen Sachverhalts hin (Art. 106 Abs. 1 AsylG). Im Zusammenhang mit dem Wegweisungsvollzug kann zudem die Unangemessenheit gerügt werden (Art. 37 VGG i.V.m. Art. 49 VwVG; vgl. BVGE 2014/26 E. 5).</w:t>
      </w:r>
    </w:p>
    <w:p>
      <w:r>
        <w:rPr>
          <w:b/>
        </w:rPr>
        <w:t>E. 2.2</w:t>
      </w:r>
    </w:p>
    <w:p>
      <w:r>
        <w:t>Das Bundesverwaltungsgericht verzichtet auf die Durchführung eines Schriftenwechsels (Art. 111a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 Wer um Asyl nachsucht, muss gemäss Art. 7 AsylG die Flüchtlingseigenschaft nachweisen oder zumindest glaubhaft machen (Abs. 1). Glaubhaft gemacht ist die Flüchtlingseigenschaft, wenn die Behörde ihr Vorhandensein mit überwiegender Wahrscheinlichkeit für gegeben hält (Abs. 2). Unglaubhaft sind insbesondere Vorbringen, die in wesentlichen Punkten zu wenig begründet oder in sich widersprüchlich sind, den Tatsachen nicht entsprechen oder massgeblich auf gefälschte oder verfälschte Beweismittel abgestützt werden (Abs. 3). Das Bundesverwaltungsgericht hat die Anforderungen an das Glaubhaftmachen der Vorbringen in einem publizierten Entscheid dargelegt und folgt dabei ständiger Praxis. Darauf kann hier verwiesen werden (BVGE 2010/57 E. 2.2 und 2.3).</w:t>
      </w:r>
    </w:p>
    <w:p>
      <w:r>
        <w:rPr>
          <w:b/>
        </w:rPr>
        <w:t>E. 3.2</w:t>
      </w:r>
    </w:p>
    <w:p>
      <w:r>
        <w:t>Das Verwaltungs- respektive Asylverfahren wird vom Untersuchungsgrundsatz beherrscht (Art. 12 VwVG i.V.m. Art. 6 AsylG). Demnach hat die Behörde von Amtes wegen für die richtige und vollständige Abklärung des rechtserheblichen Sachverhaltes zu sorgen, die für das Verfahren notwendigen Unterlagen zu beschaffen, die rechtlich relevanten Umstände abzuklären und ordnungsgemäss darüber Beweis zu führen. Dabei beschränken sich die behördlichen Ermittlungen nicht nur auf jene Umstände, welche die Betroffenen belasten, sondern haben auch die sie entlastenden Momente zu erfassen. Die Behörde hat alle sach- und entscheidwesentlichen Tatsachen und Ergebnisse in den Akten festzuhalten. Gemäss Art. 8 AsylG hat die asylsuchende Person demgegenüber die Pflicht - und unter dem Blickwinkel des rechtlichen Gehörs im Sinne von Art. 29 VwVG und Art. 29 Abs. 2 BV auch das Recht - an der Feststellung des Sachverhaltes mitzuwirken. Sofern die gesetzlichen Mitwirkungspflichten durch die asylsuchende Person nicht verletzt worden sind, muss die Behörde insbesondere dann weitere Abklärungen ins Auge fassen, wenn aufgrund der Vorbringen der asylsuchenden Person und der von ihr eingereichten oder angebotenen Beweismittel Zweifel und Unsicherheiten am Sachverhalt weiterbestehen, die voraussichtlich mit Ermittlungen von Amtes wegen beseitigt werden können (vgl. BVGE 2009/50 E. 10.2; BVGE 2008/24 E. 7.2; BVGE 2007/21 E. 11.1).</w:t>
      </w:r>
    </w:p>
    <w:p>
      <w:r>
        <w:rPr>
          <w:b/>
        </w:rPr>
        <w:t>E. 3.3</w:t>
      </w:r>
    </w:p>
    <w:p>
      <w:r>
        <w:t>Gemäss Art. 29 Abs. 2 BV haben die Parteien eines Verfahrens Anspruch auf rechtliches Gehör. Dieser Grundsatz wird in den Art. 29 ff. VwVG für das Verwaltungsverfahren konkretisiert. Teilgehalt des rechtlichen Gehörs ist, dass die Behörden alles in den Akten festzuhalten haben, was zur Sache gehört und wesentlich für die Verfügung sein kann. Daraus resultiert die Pflicht, dass jegliche Abklärungen schriftlich festzuhalten, zu den Akten zu nehmen und aufzubewahren sind. Die Aktenführung hat geordnet, übersichtlich und vollständig zu sein und es muss ersichtlich sein, wer die Akten erstellt hat und wie sie zustande gekommen sind (vgl. zum Ganzen BVGE 2011/37 E. 5.4.1; BVGE 2013/23 E. 6.4.2).</w:t>
      </w:r>
    </w:p>
    <w:p>
      <w:r>
        <w:rPr>
          <w:b/>
        </w:rPr>
        <w:t>E. 3.4</w:t>
      </w:r>
    </w:p>
    <w:p>
      <w:r>
        <w:t>Das Bundesverwaltungsgericht hielt in einem kürzlich ergangenen Urteil fest, sofern die Mindeststandards betreffend Gewährung des rechtlichen Gehörs respektive der Untersuchungspflicht der Vorinstanz im Rahmen ihrer neu eingeführten Methode der Herkunftsabklärung für Asylsuchende tibetischer Ethnie nicht erfüllt seien, sei der vorinstanzliche Entscheid in der Regel aufzuheben und die Sache zur korrekten Sachverhaltsabklärung und Neubeurteilung an die Vorinstanz zurückzuweisen. Ausgenommen sind jene Fälle, in denen die Vorbringen der asylsuchenden Person - aufgrund gänzlicher Unplausibilität, Substanzarmut oder Widersprüchlichkeit - offensichtlich unzulänglich und somit derart haltlos seien, dass deren Beurteilung keiner weiteren fachlichen Abklärungen mehr bedürfe (Urteil des BVGer E-3361/2014 vom 6. Mai 2015 E. 5.2.3.1 [zur Publikation vorgesehen] mit Verweis auf D 3623/2014 vom 9. Juli 2014 E. 5). Seien die Mindeststandards hingegen erfüllt, unterstehe die neue Methode der Herkunftsabklärung Asylsuchender tibetischer Ethnie im Rahmen der Anhörung durch einen Mitarbeiter oder eine Mitarbeiterin der Vorinstanz, wie schon der Test "Alltagswissen Liberia", als Beweismittel der im gesamten Verwaltungs- und Verwaltungsbeschwerdeverfahren gültigen freien Beweiswürdigung (Urteil des BVGer E-3361/2014 vom 6. Mai 2015 E. 5.2.3.2 [zur Publikation vorgesehen]).</w:t>
      </w:r>
    </w:p>
    <w:p>
      <w:r>
        <w:rPr>
          <w:b/>
        </w:rPr>
        <w:t>E. 4</w:t>
      </w:r>
    </w:p>
    <w:p>
      <w:r>
        <w:t>Im vorliegenden Fall verletzt die Vorinstanz die Pflicht, die vorgenommenen Abklärungen schriftlich festzuhalten und zu den Akten zu nehmen. So stützt sich die Vorinstanz massgeblich auf die geographischen Angaben der Beschwerdeführerin und führt in Bezug auf die Quellen ausschliesslich aus: "Nach einiger Recherche und Rücksprache mit fachkundigen tibetischen und chinesisch sprechenden Personen, stellte sich heraus, dass ..." (SEM-Akte A12 S. 3). Diese Recherchen und Rücksprachen sind weder aktenkundig beziehungsweise dokumentiert noch nachvollziehbar. Damit steht fest, dass die Vorinstanz im vorliegenden Fall den Untersuchungsgrundsatz verletzt hat.</w:t>
      </w:r>
    </w:p>
    <w:p>
      <w:r>
        <w:rPr>
          <w:b/>
        </w:rPr>
        <w:t>E. 5</w:t>
      </w:r>
    </w:p>
    <w:p>
      <w:r>
        <w:t>Die Beschwerde ist demnach gutzuheissen, die Verfügung vom 4. März 2015 aufzuheben und die Sache zur Feststellung des Sachverhalts und neuen Entscheidung an die Vorinstanz zurückzuweisen.</w:t>
      </w:r>
    </w:p>
    <w:p>
      <w:r>
        <w:rPr>
          <w:b/>
        </w:rPr>
        <w:t>E. 6</w:t>
      </w:r>
    </w:p>
    <w:p>
      <w:r>
        <w:t>Bei diesem Ausgang des Verfahrens sind keine Kosten zu erheben (Art. 63 Abs. 1 und Abs. 3 VwVG). Das Gesuch um Gewährung der unentgeltlichen Prozessführung nach Art. 65 Abs. 1 VwVG ist damit gegenstandslos geworden. Gleiches gilt für die Gesuche um Verzicht auf Erhebung eines Kostenvorschusses und das Gesuch um aufschiebende Wirkung der Beschwerde. Der nicht vertretenen Beschwerdeführerin sind keine notwendigen und verhältnismässig hohe Kosten entstanden (Art. 64 VwVG), weshalb keine Entschädigung zuzusprechen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