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E-1995/2019 vom 17. Mai 2019</w:t>
      </w:r>
    </w:p>
    <w:p>
      <w:r>
        <w:t>Bundesverwaltungsgericht, 2019-05-17, DE</w:t>
      </w:r>
    </w:p>
    <w:p>
      <w:r>
        <w:rPr>
          <w:b/>
        </w:rPr>
        <w:t xml:space="preserve">Quelle: </w:t>
      </w:r>
      <w:r>
        <w:t>https://mcp.opencaselaw.ch/entscheid/bvger_E-1995_2019</w:t>
      </w:r>
    </w:p>
    <w:p>
      <w:r>
        <w:t>FR: TAF E-1995/2019 du 17 mai 2019</w:t>
      </w:r>
    </w:p>
    <w:p>
      <w:r>
        <w:t>IT: TAF E-1995/2019 del 17 maggio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In der angefochtenen Verfügung wird zur rechtlichen Qualifikation der Eingabe vom 11. März 2019 ausgeführt, mit den als Beleg für den Tod der Eltern des Beschwerdeführers eingereichten Fotos ihrer Gräber werde das Vorliegen neuer Beweismittel im Sinne von Art. 66 Abs. 2 Bst. a VwVG geltend gemacht. Der Beschwerdeführer habe die Fotos nach dem Urteil vom 24. Juli 2017 erhalten. Somit liege ein qualifiziertes Wiedererwägungsgesuch vor. Wie bereits in E. 4 ausgeführt wurde, können Revisionsgründe in Form eines qualifizierten Wiedererwägungsgesuchs nur dann beim SEM geltend gemacht werden, wenn die abzuändernde Verfügung unangefochten blieb oder ein eingeleitetes Beschwerdeverfahren mit einem blossen Prozessentscheid abgeschlossen wurde. Vorliegend wurde das ordentliche Asylverfahren mit dem materiellen Beschwerdeurteil vom 24. Juli 2017 abgeschlossen. Der Beschwerdeführer begründet seine als "Wiedererwägungsgesuch" bezeichnete Eingabe vom 11. März 2019 damit, die eingereichten Fotos der Gräber seiner Eltern und die ins Deutsche übersetzten Grabinschriften würden belegen, dass seine Eltern am (...) umgebracht worden seien. Er verfüge somit in Kabul über kein Beziehungsnetz mehr. Er sei erst Ende (...) 2018 von Bewohnern des Dorfes B._______ darüber informiert worden, dass seine Eltern nebeneinander auf dem Friedhof ihres Heimatortes bestattet seien. Damit macht er eine vor Abschluss des ordentlichen Asylverfahrens bereits bestandene Tatsache geltend und zielt auf eine Neubeurteilung des Sachverhalts ab, der zwar bisher nicht geltend gemacht worden ist, aber zum Zeitpunkt des Urteils bereits bestanden hat. Angesichts dessen ist festzustellen, dass mit der Eingabe vom 11. März 2019 sinngemäss der Revisionsgrund nachträglich erfahrener erheblicher Tatsachen beziehungsweise nachträglich aufgefundener, entscheidender Beweismittel (Art. 123 Abs. 2 Bst. a BGG) geltend gemacht wird. Das SEM wäre folglich gehalten gewesen, die Eingabe vom 11. März 2019 mangels funktionaler Zuständigkeit gestützt auf Art. 8 VwVG an das für die Prüfung dieses Revisionstatbestandes zuständige Bundesverwaltungsgericht zu überweisen.</w:t>
      </w:r>
    </w:p>
    <w:p>
      <w:r>
        <w:rPr>
          <w:b/>
        </w:rPr>
        <w:t>E. 5.2</w:t>
      </w:r>
    </w:p>
    <w:p>
      <w:r>
        <w:t>Die Rechtsprechung geht bei der funktionellen Unzuständigkeit für den Regelfall von der Nichtigkeit der Verfügung aus (vgl. dazu: Regina Kiener/Bernhard Rütsche/Mathias Kuhn, Öffentliches Verfahrensrecht, 2. Aufl., 2015, Rz. 513, S. 129 und Rz. 1286, S. 317, sowie: Thomas Flückiger, in: Waldmann/Weissenberger [Hrsg.], Praxiskommentar Verwaltungsverfahrensgesetz, 2. Aufl., 2016, Rz. 40 und 47 zu Art. 7 VwVG, mit weiterem Verweis auf BGE 132 II 21 E. 3.1 und BGE 129 I 361 E. 2.1). Angesichts dieser Sachlage ist die Nichtigkeit der Verfügung des SEM vom 26. März 2019 festzustellen. Sie vermag keine Rechtswirkungen zu entfalten, weshalb die Vorinstanz anzuweisen ist, dem Beschwerdeführer die ihm auferlegte Gebühr von Fr. 600.- zu erlassen respektive bei bereits erfolgter Zahlung zurückzuerstatten.</w:t>
      </w:r>
    </w:p>
    <w:p>
      <w:r>
        <w:rPr>
          <w:b/>
        </w:rPr>
        <w:t>E. 5.3</w:t>
      </w:r>
    </w:p>
    <w:p>
      <w:r>
        <w:t>Da die Verfügung vom 26. März 2019 zufolge Nichtigkeit kein zulässiges Anfechtungsobjekt im Sinne von Art. 5 VwVG darstellt, wäre die dagegen erhobene Beschwerde vom 26. April 2019 aufgrund nicht erfüllter Eintretensvoraussetzungen an sich als unzulässig zu erklären. Das Gericht stellt indessen fest, dass dem Beschwerdeführer aus dem verfahrensrechtlich fehlerhaften Verlauf des anhängig gemachten ausserordentlichen Verfahrens keine Nachteile entstanden sind. Das bei der Vorinstanz eingereichte "Wiedererwägungsgesuch" vom 11. März 2019 ist vom Bundesverwaltungsgericht unter einer neuen Verfahrensnummer als Revisionsgesuch gegen das Urteil E-3276/2017 vom 24. Juli 2017 entgegenzunehmen, zumal das Bundesverwaltungsgericht an die Bezeichnung einer Rechtsmitteleingabe durch eine Partei nicht gebunden ist. Die Beschwerde vom 26. April 2019 sowie die Eingabe vom 27. April 2019 sind als Ergänzung zum Revisionsgesuch entgegenzunehmen.</w:t>
      </w:r>
    </w:p>
    <w:p>
      <w:r>
        <w:rPr>
          <w:b/>
        </w:rPr>
        <w:t>E. 6</w:t>
      </w:r>
    </w:p>
    <w:p>
      <w:r>
        <w:t>Mit vorliegendem Urteil wird der Antrag auf Verzicht auf die Erhebung eines Kostenvorschusses gegenstandslos.</w:t>
      </w:r>
    </w:p>
    <w:p>
      <w:r>
        <w:rPr>
          <w:b/>
        </w:rPr>
        <w:t>E. 7.1</w:t>
      </w:r>
    </w:p>
    <w:p>
      <w:r>
        <w:t>Bei diesem Ausgang des Verfahrens sind keine Kosten zu erheben (Art. 63 Abs. 1 und 2 VwVG), womit der Antrag auf Gewährung der unentgeltlichen Rechtspflege im Sinne von Art. 65 Abs. 1 VwVG gegenstandslos wird.</w:t>
      </w:r>
    </w:p>
    <w:p>
      <w:r>
        <w:rPr>
          <w:b/>
        </w:rPr>
        <w:t>E. 7.2</w:t>
      </w:r>
    </w:p>
    <w:p>
      <w:r>
        <w:t>Da die Verfügung vom 26. März 2019 zufolge Nichtigkeit kein zulässiges Anfechtungsobjekt im Sinne von Art. 5 VwVG darstellt, wäre die dagegen erhobene Beschwerde vom 26. April 2019 aufgrund nicht erfüllter Eintretensvoraussetzungen an sich als unzulässig zu erklären. Der Beschwerdeführer war indessen zur Ergreifung eines Rechtsmittels gezwungen und hat insoweit obsiegt, weshalb ihm in Anwendung von Art. 64 VwVG und Art. 7 Abs. 1 des Reglements vom 21. Februar 2008 über die Kosten und Entschädigungen vor dem Bundesverwaltungsgericht (VGKE, SR 173.320.2) eine Parteientschädigung für die ihm notwendigerweise erwachsenen Parteikosten zuzusprechen ist.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pauschal Fr. 600.-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