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E-1980/2021 vom 5. Mai 2021</w:t>
      </w:r>
    </w:p>
    <w:p>
      <w:r>
        <w:t>Bundesverwaltungsgericht, 2021-05-05, DE</w:t>
      </w:r>
    </w:p>
    <w:p>
      <w:r>
        <w:rPr>
          <w:b/>
        </w:rPr>
        <w:t xml:space="preserve">Quelle: </w:t>
      </w:r>
      <w:r>
        <w:t>https://mcp.opencaselaw.ch/entscheid/bvger_E-1980_2021</w:t>
      </w:r>
    </w:p>
    <w:p>
      <w:r>
        <w:t>FR: TAF E-1980/2021 du 5 mai 2021</w:t>
      </w:r>
    </w:p>
    <w:p>
      <w:r>
        <w:t>IT: TAF E-1980/2021 del 5 maggio 2021</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w:t>
      </w:r>
    </w:p>
    <w:p>
      <w:r>
        <w:rPr>
          <w:b/>
        </w:rPr>
        <w:t>E. 1.2</w:t>
      </w:r>
    </w:p>
    <w:p>
      <w:r>
        <w:t>Die Eingabe des Beschwerdeführers beruht auf einer bekannten Beschwerdevorlage, welche zwar in englischer Sprache verfasst ist, jedoch ohne weiteres verständliche, ordnungsgemässe Anträge umfasst. Zwar hat der Beschwerdeführer auch seine beigefügte Beschwerdebegründung nicht in einer Amtssprache des Bundes verfasst, indessen ist diese ebenso ohne weiteres verständlich, weshalb auf eine Rückweisung der Eingabe zwecks Übersetzung verzichtet werden kann.</w:t>
      </w:r>
    </w:p>
    <w:p>
      <w:r>
        <w:rPr>
          <w:b/>
        </w:rPr>
        <w:t>E. 1.3</w:t>
      </w:r>
    </w:p>
    <w:p>
      <w:r>
        <w:t>Somit genügt die fristgerechte Eingabe des Beschwerdeführers den formellen Anforderungen an eine Beschwerde im Wesentlichen (Art. 108 Abs. 3 AsylG, Art. 48 Abs. 1 und Art. 52 Abs. 1 VwVG), weshalb auf die Beschwerde einzutreten ist.</w:t>
      </w:r>
    </w:p>
    <w:p>
      <w:r>
        <w:rPr>
          <w:b/>
        </w:rPr>
        <w:t>E. 1.4</w:t>
      </w:r>
    </w:p>
    <w:p>
      <w:r>
        <w:t>Das Verfahren richtet sich nach dem VwVG, soweit das VGG und das AsylG nichts anderes bestimmen (Art. 37 VGG und Art. 6 AsylG).</w:t>
      </w:r>
    </w:p>
    <w:p>
      <w:r>
        <w:rPr>
          <w:b/>
        </w:rPr>
        <w:t>E. 1.5</w:t>
      </w:r>
    </w:p>
    <w:p>
      <w:r>
        <w:t>Die Kognition des Bundesverwaltungsgerichts und die zulässigen Rügen richten sich im Asylbereich nach Art. 106 Abs. 1 AsylG, im Bereich des Ausländerrechts nach Art. 49 VwVG (vgl. BVGE 2014/26 E. 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Jeder Asylantrag wird von einem einzigen Mitgliedstaat geprüft, der nach den Kriterien des Kapitels III Dublin-III-VO als zuständiger Staat bestimmt wird. Das Verfahren zur Bestimmung des zuständigen Mitgliedstaates wird eingeleitet, sobald in einem Mitgliedstaat erstmals ein Asylantrag gestellt wird (Art. 20 Abs. 1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[sog. Versteinerungsprinzip]; vgl. BVGE 2012/4 E. 3.2; Filzwieser/Sprung, Dublin III-Verordnung, Wien 2014, K4 zu Art. 7). Im Rahmen eines Wiederaufnahmeverfahrens (engl.: take back) findet demgegenüber grundsätzlich keine (erneute) Zuständigkeitsprüfung nach Kapitel III statt (vgl. BVGE 2012/4 E. 3.2.1 m.w.H.). Führt die Zuständigkeitsprüfung zur Feststellung, dass ein anderer Mitgliedstaat für die Prüfung des Asylgesuchs zuständig ist, tritt die Vorinstanz, nachdem der betreffende Mitgliedstaat einer Überstellung oder Rücküberstellung zugestimmt hat - oder bei fingierter Zustimmung - auf das Asylgesuch grundsätzlich nicht ein.</w:t>
      </w:r>
    </w:p>
    <w:p>
      <w:r>
        <w:rPr>
          <w:b/>
        </w:rPr>
        <w:t>E. 4.2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4.3</w:t>
      </w:r>
    </w:p>
    <w:p>
      <w:r>
        <w:t>Den vorliegenden Akten ist zu entnehmen, dass der Beschwerdeführer am 19. März 2019 in Belgien ein Asylgesuch gestellt hat, welches von den belgischen Behörden in der Folge rechtskräftig abgewiesen wurde. Am 20. April 2021 ersuchte die Vorinstanz die belgischen Behörden gestützt auf Art. 18 Abs. 1 Bst. d Dublin-III-VO um Übernahme des Beschwerdeführers. Dieses Gesuch wurde am 23. April 2021 von den belgischen Behörden gutgeheissen. Die grundsätzliche Zuständigkeit Belgiens, welche auch auf Beschwerdeebene nicht in substanzieller Weise in Frage gestellt wird, ist somit gegeben. Auch wenn das Asylverfahren in Belgien bereits rechtskräftig abgeschlossen ist, bleibt Belgien gemäss Art. 18 Abs. 1 Bst. d VO weiterhin für das Verfahren bis zu einem allfälligen Wegweisungsvollzug oder einer allfälligen Regelung des Aufenthaltsstatus zuständig.</w:t>
      </w:r>
    </w:p>
    <w:p>
      <w:r>
        <w:rPr>
          <w:b/>
        </w:rPr>
        <w:t>E. 5.1</w:t>
      </w:r>
    </w:p>
    <w:p>
      <w:r>
        <w:t>Belgien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entsprechenden völkerrechtlichen Verpflichtungen nach. Es darf davon ausgegangen werden, dass dieser Staat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w:t>
      </w:r>
    </w:p>
    <w:p>
      <w:r>
        <w:rPr>
          <w:b/>
        </w:rPr>
        <w:t>E. 5.2</w:t>
      </w:r>
    </w:p>
    <w:p>
      <w:r>
        <w:t>Der Beschwerdeführer hat kein konkretes und ernsthaftes Risiko dargetan, dass die belgischen Behörden in seinem Fall den erwähnten völkerrechtlichen Verpflichtungen nicht nachkommen würden. Die Argumentation in der Beschwerde erschöpft sich in der Schilderung der Aufenthalte in verschiedenen Ländern (Bulgarien, Serbien, Bosnien) und im pauschalen Hinweis, dass sein Asylgesuch in Belgien abgewiesen worden sei, weshalb er nicht dorthin zurückkehren könne. Es gibt keine Hinweise, dass die Behandlung seines Asylgesuchs mangelhaft gewesen und seine Wegweisung in Verletzung des Non-Refoulement-Verbots verfügt worden sein könnte. In diesem Zusammenhang ist der Vollständigkeit halber festzustellen, dass ein definitiver Entscheid über ein Asylgesuch und die Wegweisung in das Heimatland nicht per se eine Verletzung des Non-Refoulement-Prinzips darstellen. Das Prinzip der Überprüfung eines Asylgesuchs durch einen einzigen Mitgliedstaat («one chance only») dient im Gegenteil der Vermeidung von multiplen Asylgesuchen in verschiedenen Staaten (sogenanntes «asylum shopping»; vgl. BVGE 2017 VI/5 E. 8.5.3.3). Die Überstellung des Beschwerdeführers nach Belgien führt gemäss den Akten nicht zu einer Kettenabschiebung, die gegen das Non-Refoulement-Prinzip verstossen würde, wie es in Art. 33 FK verankert ist (und sich ausserdem aus Art. 4 der EU-Grundrechtecharta, Art. 3 EMRK oder Art. 3 FoK ableiten lässt).</w:t>
      </w:r>
    </w:p>
    <w:p>
      <w:r>
        <w:rPr>
          <w:b/>
        </w:rPr>
        <w:t>E. 5.3</w:t>
      </w:r>
    </w:p>
    <w:p>
      <w:r>
        <w:t>Die Frage der Anwendung der Souveränitätsklausel aus humanitären Gründen gestützt auf Art. 29a Abs. 3 AsylV 1 ist ins Dublinverfahren eingebettet. Dieses betrifft lediglich die Frage, ob auf ein Asylgesuch eingetreten wird oder ob die gesuchstellende Person in einen Drittstaat ausreisen kann, der gemäss der Dublin-III-VO für die Durchführung des Asyl- und Wegweisungsverfahrens zuständig ist. In diesem Zusammenhang werden die Entscheide anderer Vertragsstaaten sowohl mit Blick auf die materielle Beurteilung der Asylgründe als auch mit Blick auf die Zulässigkeit bzw. Zumutbarkeit des Wegweisungsvollzugs in den Herkunfts- oder Heimatstaat anerkannt, ohne dass sie in der Sache hinterfragt würden. Der Beschwerdeführer kann demnach aufgrund einer allenfalls unterschiedlichen Einschätzung im Rahmen des materiellen Asylverfahrens nicht erwirken, dass die Vorinstanz einen Selbsteintritt aus humanitären Gründen prüfen muss (vgl. Urteil des BVGer F-2530/2017 vom 15. Mai 2017 E. 9.2 m.H.).</w:t>
      </w:r>
    </w:p>
    <w:p>
      <w:r>
        <w:rPr>
          <w:b/>
        </w:rPr>
        <w:t>E. 5.4</w:t>
      </w:r>
    </w:p>
    <w:p>
      <w:r>
        <w:t>Zusammenfassend ist festzuhalten, dass kein Grund für die Anwendung der Ermessensklausen von Art. 17 Dublin-III-VO oder von Art. Art. 29a Abs. 3 AsylV 1 vorliegen. Belgien bleibt somit zuständiger Mitgliedstaat gemäss Dublin-III-VO und ist verpflichtet, den Beschwerdeführer wiederaufzunehmen.</w:t>
      </w:r>
    </w:p>
    <w:p>
      <w:r>
        <w:rPr>
          <w:b/>
        </w:rPr>
        <w:t>E. 5.5</w:t>
      </w:r>
    </w:p>
    <w:p>
      <w:r>
        <w:t>Das SEM ist demnach zu Recht in Anwendung von Art. 31a Abs. 1 Bst. b AsylG auf das Asylgesuch nicht eingetreten und hat - weil der Beschwerdeführer nicht im Besitz einer gültigen Aufenthalts- oder Niederlassungsbewilligung ist - in Anwendung von Art. 44 AsylG die Überstellung nach Belgien angeordnet. Die Beschwerde ist demzufolge abzuweisen.</w:t>
      </w:r>
    </w:p>
    <w:p>
      <w:r>
        <w:rPr>
          <w:b/>
        </w:rPr>
        <w:t>E. 6.1</w:t>
      </w:r>
    </w:p>
    <w:p>
      <w:r>
        <w:t>Mit dem vorliegenden Urteil wird das Gesuch um Verzicht auf das Erheben eines Kostenvorschusses gegenstandslos.</w:t>
      </w:r>
    </w:p>
    <w:p>
      <w:r>
        <w:rPr>
          <w:b/>
        </w:rPr>
        <w:t>E. 6.2</w:t>
      </w:r>
    </w:p>
    <w:p>
      <w:r>
        <w:t>Die Gesuche um Gewährung der unentgeltlichen Prozessführung und der unentgeltlichen Verbeiständung sind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