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E-1980/2012 vom 18. April 2013</w:t>
      </w:r>
    </w:p>
    <w:p>
      <w:r>
        <w:t>Bundesverwaltungsgericht, 2013-04-18, DE</w:t>
      </w:r>
    </w:p>
    <w:p>
      <w:r>
        <w:rPr>
          <w:b/>
        </w:rPr>
        <w:t xml:space="preserve">Quelle: </w:t>
      </w:r>
      <w:r>
        <w:t>https://mcp.opencaselaw.ch/entscheid/bvger_E-1980_2012</w:t>
      </w:r>
    </w:p>
    <w:p>
      <w:r>
        <w:t>FR: TAF E-1980/2012 du 18 avril 2013</w:t>
      </w:r>
    </w:p>
    <w:p>
      <w:r>
        <w:t>IT: TAF E-1980/2012 del 18 aprile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Abs. 2 AsylG).</w:t>
      </w:r>
    </w:p>
    <w:p>
      <w:r>
        <w:rPr>
          <w:b/>
        </w:rPr>
        <w:t>E. 3.1</w:t>
      </w:r>
    </w:p>
    <w:p>
      <w:r>
        <w:t>Gemäss Art. 2 AsylG gewährt die Schweiz Flüchtlingen auf Gesuch hin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AsylG). Die Flüchtlingseigenschaft muss nachweisen oder zumindest glaubhaft machen, wer um Asyl nachsucht (Art. 7 AsylG).</w:t>
      </w:r>
    </w:p>
    <w:p>
      <w:r>
        <w:rPr>
          <w:b/>
        </w:rPr>
        <w:t>E. 3.2</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3.3</w:t>
      </w:r>
    </w:p>
    <w:p>
      <w:r>
        <w:t>Die Vorinstanz hat den Massstab des Glaubhaftmachens nach Art. 7 AsylG auf den vorliegenden Fall korrekt angewendet. Sie hat in der angefochtenen Verfügung einlässlich begründet, weshalb die Vorbringen des Beschwerdeführers realitätsfremd, widersprüchlich und in einer Gesamtwürdigung als unglaubhaft ausfielen. Der Beschwerdeführer setzt sich mit der vorinstanzlichen Beweiswürdigung kaum auseinander und zeigt nicht auf, inwiefern diese Bundesrecht verletzt oder zu einer fehlerhaften Sachverhaltsfeststellung führen soll. Solches ist auch nicht ersichtlich. In Übereinstimmung mit der Vorinstanz ist festzuhalten, dass es nicht für die Glaubhaftigkeit seiner Vorbringen spricht, dass er wesentliche Sachverhaltselemente erst anlässlich der Anhörung erwähnt hat. So hat er zwar bei der ersten Befragung angegeben, dass der Vater seines Freundes ihnen beiden gedroht habe sie umzubringen, jedoch mit keinem Wort erwähnt, dass dieser auf seinen Sohn geschossen und ihn dabei verletzt haben soll. Ferner machte er widersprüchliche Angaben. Er führte zunächst aus, er habe, bevor der Vater seines Freundes ihm etwas habe antun wollen, davon erfahren, dass sein Freund nach B._______ geflüchtet sei. An anderer Stelle gab er an, er habe von einem Freund davon erfahren, als er sich nach seiner Flucht in Griechenland aufgehalten habe. Weiter ist nicht nachvollziehbar, weshalb der Vater seines Freundes ein Verfahren wegen (...) gegen ihn veranlasst haben soll, wenn er gleichzeitig vorgehabt hätte, ihn umzubringen. Diesbezüglich erscheint es auch realitätsfremd, dass er ohne Beweismittel tatsächlich eine Verurteilung wegen (...) gegen den Beschwerdeführer hätte erwirken können, wenn dieser unschuldig ist. Zusammenfassend ist in Übereinstimmung mit der Vorinstanz festzustellen, dass die Vorbringen des Beschwerdeführers nicht glaubhaft sind. Der Beschwerdeführer hat somit nichts vorgebracht, das geeignet wäre, die Flüchtlingseigenschaft nachzuweisen oder zumindest glaubhaft zu machen. Er erfüllt die Flüchtlingseigenschaft nicht.</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5.1</w:t>
      </w:r>
    </w:p>
    <w:p>
      <w:r>
        <w:t>Gemäss Art. 44 Abs. 2 AsylG prüft das Bundesamt den Vollzug der Wegweisung und regelt das Anwesenheitsverhältnis nach den gesetzlichen Bestimmungen über die vorläufige Aufnahmen nach dem Bundesgesetz vom 16. Dezember 2005 über die Ausländerinnen und Ausländer (AuG; SR 142.20), wenn der Vollzug der Wegweisung nicht zulässig, nicht zumutbar oder nicht möglich ist.</w:t>
      </w:r>
    </w:p>
    <w:p>
      <w:r>
        <w:rPr>
          <w:b/>
        </w:rPr>
        <w:t>E. 5.2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Das Bundesverwaltungsgericht ist im Grundsatzurteil vom 14. März 2008 (BVGE 2008/5) aufgrund einer umfassenden Beurteilung der Situation in den nordirakischen Provinzen Dohuk, Suleimaniya und Erbil zum Schluss gekommen, dass ein Wegweisungsvollzug unter der Voraussetzung zumutbar ist, dass die betreffende Person ursprünglich aus der Region stammt oder eine längere Zeit dort gelebt hat und über ein soziales Netz (Familie, Verwandtschaft oder Bekanntenkreis) oder über Beziehungen zu den herrschenden Parteien verfügt. Der Beschwerdeführer stammt aus C._______, hat bis zu seiner Ausreise dort gelebt und verfügt über einen grossen Familien- und Bekanntenkreis. Konkrete Anhaltspunkte dafür, dass er bei einer Rückkehr einer Gefährdungssituation ausgesetzt wäre oder aus individuellen Gründen wirtschaftlicher, sozialer oder gesundheitlicher Natur in eine existenzbedrohende Situation geraten würde, liegen keine vor. Der Vollzug der Wegweisung erweist sich somit als zumutbar.</w:t>
      </w:r>
    </w:p>
    <w:p>
      <w:r>
        <w:rPr>
          <w:b/>
        </w:rPr>
        <w:t>E. 5.4</w:t>
      </w:r>
    </w:p>
    <w:p>
      <w:r>
        <w:t>Der Vollzug ist schliesslich nach Art. 83 Abs. 2 AuG als möglich zu bezeichnen, weil es dem Beschwerdeführer obliegt, sich bei der zuständigen Vertretung des Heimatstaates die für eine Rückkehr notwendigen Reisedokumente zu beschaffen (vgl. BVGE 2008/34 E. 12).</w:t>
      </w:r>
    </w:p>
    <w:p>
      <w:r>
        <w:rPr>
          <w:b/>
        </w:rPr>
        <w:t>E. 5.5</w:t>
      </w:r>
    </w:p>
    <w:p>
      <w:r>
        <w:t>Die Vorinstanz hat den Vollzug somit zutreffend als möglich, zumutbar und zulässig bezeichnet.</w:t>
      </w:r>
    </w:p>
    <w:p>
      <w:r>
        <w:rPr>
          <w:b/>
        </w:rPr>
        <w:t>E. 6</w:t>
      </w:r>
    </w:p>
    <w:p>
      <w:r>
        <w:t>Aus diesen Erwägungen ergibt sich, dass die angefochtene Verfügung Bundesrecht nicht verletzt und auch sonst nicht zu beanstanden ist (vgl. Art. 106 AsylG). Die Beschwerde ist abzuweisen.</w:t>
      </w:r>
    </w:p>
    <w:p>
      <w:r>
        <w:rPr>
          <w:b/>
        </w:rPr>
        <w:t>E. 7</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Das Gesuch um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