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E-197/2009 vom 18. Februar 2009</w:t>
      </w:r>
    </w:p>
    <w:p>
      <w:r>
        <w:t>Bundesverwaltungsgericht, 2009-02-18, FR</w:t>
      </w:r>
    </w:p>
    <w:p>
      <w:r>
        <w:rPr>
          <w:b/>
        </w:rPr>
        <w:t xml:space="preserve">Quelle: </w:t>
      </w:r>
      <w:r>
        <w:t>https://mcp.opencaselaw.ch/entscheid/bvger_E-197_2009</w:t>
      </w:r>
    </w:p>
    <w:p>
      <w:r>
        <w:t>FR: TAF E-197/2009 du 18 février 2009</w:t>
      </w:r>
    </w:p>
    <w:p>
      <w:r>
        <w:t>IT: TAF E-197/2009 del 18 febbraio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(48 et 52 ss PA et 108 al. 1 LAsi).</w:t>
      </w:r>
    </w:p>
    <w:p>
      <w:r>
        <w:rPr>
          <w:b/>
        </w:rPr>
        <w:t>E. 2</w:t>
      </w:r>
    </w:p>
    <w:p>
      <w:r>
        <w:t>Les recourants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relève que les motifs avancés par les recourants ne se distinguent pas substantiellement de ceux qu'ils avaient avancés dans le cadre de leur première demande, comme, pour partie, en procédure de réexamen. En effet, ils avaient alors déjà fait valoir le harcèlement et les mauvais traitements provenant de la population de souche serbe, et la recourante avait allégué l'existence de sévices sexuels commis par des inconnus. L'autorité de première instance avait alors admis, non seulement que les intéressés n'avaient pas la qualité de réfugiés, mais également qu'il ne couraient pas un risque de traitements contraires à l'art. 3 CEDH ; en effet, d'une part, aucun élément ne permettait d'admettre que les autorités ne leur prêteraient pas assistance, et d'autre part, il leur était loisible de s'établir dans une localité que D._______. Dans le cas d'espèce, et sans se prononcer sur les vraisemblance globale du récit, le Tribunal ne voit pas de raisons de se distancer de cette appréciation. Les intéressés n'ont pas considéré comme utile de porter plainte auprès de la police à la suite du viol dont l'épouse aurait été victime ; toutefois, le fait que celle-ci soit d'origine serbe aurait dû lui faciliter, sinon lui garantir, l'obtention de la protection des autorités. De même, le Tribunal relève que, là encore, rien n'empêche les recourants et leurs enfants de s'établir dans une autre région de la Serbie ; le père de famille, parfois accompagné de sa femme, a vécu durant plusieurs mois à Pancevo et à Subotica sans y rencontrer de difficultés majeures. Enfin, sur un plan plus large, il faut constater que si le comportement de la police et des autorités serbes envers les Roms et les autres minorités laisse encore à désirer, des progrès indéniables ont été enregistrés au plan de leur intégration dans la fonction publique et du respect de leurs droits ; ainsi l'ont retenu les rapports périodiques élaborés par les organes compétents de l'Union européenne (cf. Minority Rights Group International, Pushing for Change ? South East Europe's Minorities in the EU Progress Reports, Londres juillet 2008).</w:t>
      </w:r>
    </w:p>
    <w:p>
      <w:r>
        <w:rPr>
          <w:b/>
        </w:rPr>
        <w:t>E. 5.5</w:t>
      </w:r>
    </w:p>
    <w:p>
      <w:r>
        <w:t>Dès lors, l'exécution du renvoi des recourants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Serbie, et plus particulièrement la Voïvodine,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des recourants. A cet égard, l'autorité de céans relève qu'ils sont encore jeunes et au bénéfice d'une expérience professionnelle dans le commerce déjà ancienne. Quant à l'état de santé de l'épouse, il résulte des rapports médicaux produits qu'il s'est amélioré et a perdu son caractère aigu ; le traitement qui pourrait encore lui être nécessaire pourra être dispensé l'intéressée dans on pays d'origine.</w:t>
      </w:r>
    </w:p>
    <w:p>
      <w:r>
        <w:rPr>
          <w:b/>
        </w:rPr>
        <w:t>E. 6.3</w:t>
      </w:r>
    </w:p>
    <w:p>
      <w:r>
        <w:t>Pour ces motifs, l'exécution du renvoi doit être considérée comme raisonnablement exigible.</w:t>
      </w:r>
    </w:p>
    <w:p>
      <w:r>
        <w:rPr>
          <w:b/>
        </w:rPr>
        <w:t>E. 7</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8</w:t>
      </w:r>
    </w:p>
    <w:p>
      <w:r>
        <w:t>Il s'ensuit que le recours doit être rejeté. La décision au fond étant intervenue, la demande de restitution de l'effet suspensif est sans objet.</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