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E-1974/2014 vom 5. Januar 2015</w:t>
      </w:r>
    </w:p>
    <w:p>
      <w:r>
        <w:t>Bundesverwaltungsgericht, 2015-01-05, DE</w:t>
      </w:r>
    </w:p>
    <w:p>
      <w:r>
        <w:rPr>
          <w:b/>
        </w:rPr>
        <w:t xml:space="preserve">Quelle: </w:t>
      </w:r>
      <w:r>
        <w:t>https://mcp.opencaselaw.ch/entscheid/bvger_E-1974_2014</w:t>
      </w:r>
    </w:p>
    <w:p>
      <w:r>
        <w:t>FR: TAF E-1974/2014 du 5 janvier 2015</w:t>
      </w:r>
    </w:p>
    <w:p>
      <w:r>
        <w:t>IT: TAF E-1974/2014 del 5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1.3</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nach Art. 106 Abs. 1 AsylG.</w:t>
      </w:r>
    </w:p>
    <w:p>
      <w:r>
        <w:rPr>
          <w:b/>
        </w:rPr>
        <w:t>E. 4</w:t>
      </w:r>
    </w:p>
    <w:p>
      <w:r>
        <w:t>Gestützt auf Art. 111a Abs. 1 AsylG wurde vorliegend auf die Durchführung eines Schriftenwechsels verzichtet.</w:t>
      </w:r>
    </w:p>
    <w:p>
      <w:r>
        <w:rPr>
          <w:b/>
        </w:rPr>
        <w:t>E. 5</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6</w:t>
      </w:r>
    </w:p>
    <w:p>
      <w:r>
        <w:t>Gemäss aArt. 19 Abs. 1 AsylG kann ein Asylgesuch im Ausland bei einer schweizerischen Vertretung gestellt werden, welche es mit einem Bericht an das BFM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Für die Erteilung einer Einreisebewilligung gelten restriktive Voraussetzungen.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7.1</w:t>
      </w:r>
    </w:p>
    <w:p>
      <w:r>
        <w:t>Das BFM begründet die Ablehnung des Asylgesuches - unabhängig von der Glaubhaftigkeit der Vorbringen - damit, dass es dem Beschwerdeführer offensichtlich an Schutzbedürftigkeit fehle. Das Bundesverwaltungsgericht kommt nach Würdigung der Aktenlage zum Schluss, dass die vorinstanzlichen Erwägungen im Ergebnis zu bestätigen sind. Dabei gibt es grundsätzlich keinen Grund, an der Glaubhaftigkeit der Vorbringen des Beschwerdeführers zu zweifeln, wonach er (...) aufgrund eines Verdachts LTTE-Mitglied zu sein in Haft genommen worden sei, (...) für längere Zeit in einem IDP-Camp gelebt habe und seine Familie in C._______ des Öfteren von unbekannten Personen aufgesucht worden sei, die sich nach ihm und (...), der (...) kurzzeitig von der LTTE zwangsrekrutiert worden sei, erkundigt hätten. Zutreffend hält das BFM aber fest, dass daraus noch nicht auf eine Schutzbedürftigkeit des Beschwerdeführers im massgeblichen Sinne zu schliessen ist. Diesbezüglich ist insbesondere festzustellen, dass keine konkreten, direkt gegen den Beschwerdeführer gerichteten Massnahmen seitens der sri-lankischen Behörden seit seiner Verhaftung vor (...) Jahren erfolgten, wobei das gegen ihn eingeleitete Verfahren damals wieder fallengelassen wurde. Ein gesteigertes Interesse der sri-lankischen Behörden am Beschwerdeführer ist denn auch nicht nachvollziehbar, zumal er nach eigenen Angaben nie für die LTTE tätig gewesen sei und kein entsprechendes Profil erfüllt. Ein solches ergibt sich auch nicht aus seiner Verwandtschaft zum (...), welcher angeblich (...) verhaftet, danach aber wieder freigelassen worden sei. Die Vorinstanz hält insofern zutreffend fest, dass es den geltend gemachten Nachfragen bzw. Beobachtungen, sollten sie von behördlicher Seite ausgehen, an der nötigen Intensität fehlt, um im Sinne von Art. 3 AsyG relevant zu sein. Auch aus den Nachfragen der unbekannten Personen bei der Mutter oder deren Besuchen zu Hause, wie sie der Beschwerdeführer schildert, ist noch nicht auf eine konkrete Gefährdung zu schliessen, zumal sie während all dieser Zeit offenbar den Beschwerdeführer nie zu Gesicht bekommen haben, obwohl er jeweils zu Hause gewesen sei. Insgesamt ist zwar, wie das BFM ebenfalls zutreffend festhält, die vom Beschwerdeführer subjektiv empfundene Furcht aufgrund des von ihm Erlebten nachvollziehbar. Eine Gesamtbetrachtung der Umstände lässt jedoch nicht auf eine objektiv begründete Furcht vor künftiger Verfolgung schliessen. An diesem Schluss vermögen auch die Vorbringen des Beschwerdeführers auf der Beschwerdeebene nichts ändern, zumal sie sich, neben den Drohanrufen, die nicht weiter präzisiert werden, mehrheitlich auf Wiederholungen beschränken. Auch die tragische und nachvollziehbar belastende Situation seiner Ehefrau vermag nicht zur Anerkennung der Schutzbedürftigkeit des Beschwerdeführers im massgeblichen Sinne zu führen. Von einer aktuellen Gefahr vor Verfolgung im Sinne von Art. 3 AsylG und damit der Schutzbedürftigkeit - und nur dies ist vorliegend zu prüfen - ist insgesamt nicht auszugehen. Um Wiederholungen zu vermeiden, kann abschliessend auf die ausführlichen und zutreffenden Erwägungen in der angefochtenen Verfügung verwiesen werden.</w:t>
      </w:r>
    </w:p>
    <w:p>
      <w:r>
        <w:rPr>
          <w:b/>
        </w:rPr>
        <w:t>E. 7.2</w:t>
      </w:r>
    </w:p>
    <w:p>
      <w:r>
        <w:t>Nach dem Gesagten ist zusammenfassend festzuhalten, dass der Beschwerdeführer zum jetzigen Zeitpunkt in Sri Lanka keiner Gefährdung im Sinne von Art. 3 AsylG ausgesetzt ist. Unter diesen Umständen hat das BFM dem Beschwerdeführer zu Recht die Erteilung der Einreisebewilligung verweigert und sein Asylgesuch abgewiesen, zumal keine weiteren Abklärungen nötig waren.</w:t>
      </w:r>
    </w:p>
    <w:p>
      <w:r>
        <w:rPr>
          <w:b/>
        </w:rPr>
        <w:t>E. 8</w:t>
      </w:r>
    </w:p>
    <w:p>
      <w:r>
        <w:t>Aus diesen Erwägungen ergibt sich, dass die angefochtene Verfügung Bundesrecht nicht verletzt und den rechtserheblichen Sachverhalt richtig und vollständig feststellt (Art. 106 Abs. 1 AsylG). Die Beschwerde ist demnach abzuweisen.</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