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E-1971/2020 vom 20. April 2020</w:t>
      </w:r>
    </w:p>
    <w:p>
      <w:r>
        <w:t>Bundesverwaltungsgericht, 2020-04-20, DE</w:t>
      </w:r>
    </w:p>
    <w:p>
      <w:r>
        <w:rPr>
          <w:b/>
        </w:rPr>
        <w:t xml:space="preserve">Quelle: </w:t>
      </w:r>
      <w:r>
        <w:t>https://mcp.opencaselaw.ch/entscheid/bvger_E-1971_2020</w:t>
      </w:r>
    </w:p>
    <w:p>
      <w:r>
        <w:t>FR: TAF E-1971/2020 du 20 avril 2020</w:t>
      </w:r>
    </w:p>
    <w:p>
      <w:r>
        <w:t>IT: TAF E-1971/2020 del 20 aprile 2020</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bilden einzig die Fragen der Wegweisung und des Vollzugs der Wegweisung. Die Ziffern 1 (Verneinung der Flüchtlingseigenschaft) und 2 (Ablehnung des Asylgesuchs) der Verfügung vom 23. März 2020 sind daher mangels Anfechtung in Rechtskraft erwachsen.</w:t>
      </w:r>
    </w:p>
    <w:p>
      <w:r>
        <w:rPr>
          <w:b/>
        </w:rPr>
        <w:t>E. 4</w:t>
      </w:r>
    </w:p>
    <w:p>
      <w:r>
        <w:t>Die Beschwerde erweist sich als offensichtlich begründet und ist im Verfahren einzelrichterlicher Zuständigkeit mit Zustimmung einer zweiten Richterin (Art. 111 Bst. e AsylG), ohne Weiterungen und mit summarischer Begründung zu behandeln (Art. 111a Abs. 1 und 2 AsylG).</w:t>
      </w:r>
    </w:p>
    <w:p>
      <w:r>
        <w:rPr>
          <w:b/>
        </w:rPr>
        <w:t>E. 5.1</w:t>
      </w:r>
    </w:p>
    <w:p>
      <w:r>
        <w:t>Der Beschwerdeführer rügt eine unvollständige Sachverhaltsfeststellung durch Verletzung des Untersuchungsgrundsatzes sowie eine Verletzung der Begründungspflicht. Dabei handelt es sich um formelle Rügen, welche vorab zu beurteilen sind, da sie allenfalls geeignet sind,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macht geltend, der Sachverhalt sei in Bezug auf den Wegweisungsvollzug nicht hinreichend erstellt worden. Die Vorinstanz habe weder seine individuelle Situation noch die aktuelle Lage in Venezuela berücksichtigt. In der letzten Zeit habe sich die wirtschaftliche und soziale Situation in seinem Heimatstaat rapide verschlechtert.</w:t>
      </w:r>
    </w:p>
    <w:p>
      <w:r>
        <w:rPr>
          <w:b/>
        </w:rPr>
        <w:t>E. 5.4</w:t>
      </w:r>
    </w:p>
    <w:p>
      <w:r>
        <w:t>Dem Beschwerdeführer ist beizupflichten, dass sich die Vorinstanz nicht mit der aktuellen Lage in Venezuela auseinandergesetzt hat. In der angefochtenen Verfügung führt sie lediglich aus, weder die politische Situation noch andere Gründe würden gegen die Zumutbarkeit einer Rückkehr sprechen. Seit der Ausreise des Beschwerdeführers im September 2018 hat sich die Lage in Venezuela indes wesentlich verschlechtert. Beispielsweise ist dem Bericht der Vereinten Nationen vom 7. Juli 2019 zur Situation der Menschenrechte in Venezuela zu entnehmen, dass die Anzahl derjeniger, die gezwungen gewesen seien Venezuela zu verlassen, seit 2018 dramatisch zugenommen habe und bis 6. Juni 2019 auf über vier Millionen gestiegen sei; hierbei seien «violations of the rights to food and health» die Hauptursachen (UN Human Rights Council [UNHRC], Report of the United Nations High Commissioner for Human Rights on the situation of Human rights in the Bolivarian Republic of Venezuela (A/HRC/41/18), 05.07.2019, Ziff. 13 und 69 f., https://reliefweb.int/sites/reliefweb.int/files/resources/A_HRC_41_18.pdf, abgerufen am 15.04.2020). Im Mai 2019 beschrieb die New York Times den Kollaps der venezolanischen Wirtschaft als den schlimmsten seit mindestens 45 Jahren in einem Land, in dem kein Krieg herrsche (The New York Times, Venezuela's Collapse Is the Worst Outside of War in Decades, Economists Say, 17.05.2019, https://www.nytimes.com/2019/05/17/world/americas/venezuela-economy.html, abgerufen am 15.04.2020). Zudem soll das Land nicht mehr in der Lage sein Erkrankte adäquat zu versorgen oder notwendige Operationen durchzuführen (Deutsches Auswärtiges Amt, Venezuela: Reise- und Sicherheitshinweise, letzte Aktualisierung am 15.04.2020, https://www.auswaertiges-amt.de/de/aussenpolitik/laender/venezuela-node/venezuelasicherheit/224982#content_5, abgerufen am 15.04.2020). Vor diesem Hintergrund wäre die Vorinstanz gehalten gewesen, weitere Abklärungen - sowohl in genereller als auch individueller Hinsicht - zu treffen und diese adäquat in die Verfügung einfliessen zu lassen. Indem die Vorinstanz dies unterlassen hat, hat sie den Sachverhalt unvollständig festgestellt. Die kurzen Fristen im beschleunigten Verfahren entbinden die Vorinstanz nicht davon, den Sachverhalt vollständig und richtig abzuklären (vgl. dazu Urteil des BVGer D-3333/2019 vom 12. Juli 2019 E. 6.5). Die Rüge der Verletzung des Untersuchungsgrundsatzes erweist sich demnach als begründet.</w:t>
      </w:r>
    </w:p>
    <w:p>
      <w:r>
        <w:rPr>
          <w:b/>
        </w:rPr>
        <w:t>E. 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Erwägungen an die Vorinstanz zurückzuweisen.</w:t>
      </w:r>
    </w:p>
    <w:p>
      <w:r>
        <w:rPr>
          <w:b/>
        </w:rPr>
        <w:t>E. 7</w:t>
      </w:r>
    </w:p>
    <w:p>
      <w:r>
        <w:t>Die Beschwerde ist somit gutzuheissen. Die Ziffern 3, 4 und 5 der Verfügung vom 23. März 2020 sind aufzuheben und die Sache ist zur neuen Entscheidung an die Vorinstanz zurückzuweisen.</w:t>
      </w:r>
    </w:p>
    <w:p>
      <w:r>
        <w:rPr>
          <w:b/>
        </w:rPr>
        <w:t>E. 8.1</w:t>
      </w:r>
    </w:p>
    <w:p>
      <w:r>
        <w:t>Bei diesem Ausgang des Verfahrens sind keine Kosten zu erheben (Art. 63 Abs. 1 und 2 VwVG). Damit sind die Gesuche um Gewährung der unentgeltlichen Prozessführung und Verzicht auf die Erhebung eines Kostenvorschusses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