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E-1965/2022 vom 3. Juni 2026</w:t>
      </w:r>
    </w:p>
    <w:p>
      <w:r>
        <w:t>Bundesverwaltungsgericht, 2026-06-03, DE</w:t>
      </w:r>
    </w:p>
    <w:p>
      <w:r>
        <w:rPr>
          <w:b/>
        </w:rPr>
        <w:t xml:space="preserve">Quelle: </w:t>
      </w:r>
      <w:r>
        <w:t>https://mcp.opencaselaw.ch/entscheid/bvger_E-1965_2022</w:t>
      </w:r>
    </w:p>
    <w:p>
      <w:r>
        <w:t>FR: TAF E-1965/2022 du 3 juin 2026</w:t>
      </w:r>
    </w:p>
    <w:p>
      <w:r>
        <w:t>IT: TAF E-1965/2022 del 3 giugno 2026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Beschwerdeführerin ist legitimiert; auf ihre frist- und formgerecht eingereichte Beschwerde ist einzutreten (Art. 105 und Art. 108 Abs. 2 AsylG; Art. 37 VGG i.V.m. Art. 48 Abs. 1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wird, handelt es sich um ein Rechtsmittel, das durch die Entwicklungen im Heimatstaat der Beschwerdeführerin insofern begründet geworden ist, als sich eine Rückweisung der Sache an die Vorinstanz aufdrängt. Das Urteil ist nur summarisch zu begründen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Lage im Iran hat sich in den letzten Monaten erheblich verändert. Die am 28. Dezember 2025 ausgebrochenen Proteste wurden durch einen massiven Zusammenbruch der iranischen Währung vor dem Hintergrund rasant steigender Inflation, chronischer staatlicher Misswirtschaft und sich dramatisch verschlechternder Lebensbedingungen ausgelöst. Von Teheran ausgehend weiteten sich die Unruhen rasch zu landesweiten Demonstrationen aus. Die Menschen forderten dabei nicht nur bessere Lebensbedingungen, sondern auch den Sturz des Regimes der Islamischen Republik sowie ein Leben in Freiheit und Würde. Die iranischen Behörden reagierten mit systematischer Repression und massiver Gewalt, die zahlreiche Schwerverletzte und Todesopfer zur Folge hatte. Berichten zufolge ging die Zahl der Toten allein am 8. und 9. Januar 2026 - dem Höhepunkt der Proteste - in die Tausende. Inhaftierte wurden sexualisierter Gewalt, Misshandlungen und Folter ausgesetzt und es wurden Geständnisse erpresst. Schätzungen zufolge wurden aufgrund des Konflikts bis zu 3,2 Millionen Menschen vertrieben. Die meisten von ihnen flohen aus Teheran und anderen Städten in den Norden des Landes und in ländliche Gebiete. Das SEM hat vor diesem Hintergrund bereits am 13. Januar 2026 entschieden, Asylgesuche von iranischen Staatsangehörigen vorderhand zurückzustellen, wenn dabei mit einem negativen Entscheid und der Verfügung einer Wegweisung zu rechnen sei. Es begründete die Massnahme mit den seit dem 28. Dezember 2025 andauernden Protesten im Iran. Die Lage im Land sei unsicher und schwer zu beurteilen (vgl. Urteil des BVGer D-3309/2024 vom 21. Mai 2026 E. 5.1 m.H.).</w:t>
      </w:r>
    </w:p>
    <w:p>
      <w:r>
        <w:rPr>
          <w:b/>
        </w:rPr>
        <w:t>E. 5.2</w:t>
      </w:r>
    </w:p>
    <w:p>
      <w:r>
        <w:t>Ab dem 28. Februar 2026 griffen Israel und die USA den Iran mit massiven Luftschlägen an. Die israelische Armee sprach von einem «Präventivschlag», Aussagen von US-Präsident Donald Trump deuteten auf einen beabsichtigten, erzwungenen Machtwechsel hin, rief er doch das iranische Volk zum Sturz des Regimes auf. Auch Israels Premierminister Benjamin Netanjahu richtete sich in einer Ansprache an die Iranerinnen und Iraner und rief sie dazu auf, die Führung ihres Landes zu stürzen. Die Militäranschläge und der Tod von Ayatollah Ali Chamenei sowie weiterer iranischer Führungspersonen stürzten den Iran in eine ungewisse Zukunft. Der Iran reagierte umgehend mit Angriffen auf Israel, US-amerikanische Militärstützpunkte in Katar, Bahrain, den Vereinigten Arabischen Emiraten, Irak, Jordanien, Kuweit und weiteren Staaten sowie einer Blockade der Strasse von Hormus. Auch zivile Infrastruktureinrichtungen in den genannten und weiteren Staaten wurden angegriffen. Gleichzeitig dürfte die Zahl der vorübergehend Vertriebenen im Iran infolge der Kampfhandlungen weiter gestiegen sein.</w:t>
      </w:r>
    </w:p>
    <w:p>
      <w:r>
        <w:rPr>
          <w:b/>
        </w:rPr>
        <w:t>E. 5.3</w:t>
      </w:r>
    </w:p>
    <w:p>
      <w:r>
        <w:t>Ob die Gespräche zwischen den USA und dem Iran zu einem zeitlich unbefristeten Waffenstillstand und zu einem Friedensabkommen führen werden, das von Dauer sein wird, bleibt abzuwarten. Die weitere Entwicklung der Lage im Iran (und im Nahen Osten insgesamt) erscheint zum jetzigen Zeitpunkt weiterhin offen. Insbesondere sind die innenpolitischen Entwicklungen im Iran gegenwärtig nicht absehbar und die sich daraus ergebenden Konsequenzen für die Beurteilung hängiger Asylverfahren iranischer Staatsangehöriger in der Schweiz (und in anderen Ländern) unklar.</w:t>
      </w:r>
    </w:p>
    <w:p>
      <w:r>
        <w:rPr>
          <w:b/>
        </w:rPr>
        <w:t>E. 6.1</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ist indessen nicht Aufgabe des Bundesverwaltungsgerichts als Beschwerdeinstanz, grundlegende Fragen zum Sachverhalt anstelle der Vorinstanz zu klären. Dies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der Partei eine Instanz verloren ginge,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 Urteile des BVGer D-7647/2024 vom 9. Juli 2025 E. 6.4 und D-5661/2020 vom 4. November 2024 E. 5.2). Es wird Aufgabe des SEM sein, zu entscheiden, wann sich die Situation im Iran inskünftig - wie auch immer - so weit stabilisiert hat, dass eine Neubeurteilung der Frage der Flüchtlingseigenschaft von asylsuchenden Personen aus dem Iran und des Vollzugs der Wegweisung vor dem Hintergrund der dannzumal herrschenden politischen und sozioökonomischen Verhältnisse vorgenommen werden kann (vgl. zum Ganzen auch Urteile des BVGer D-6011/2022 vom 27. Mai 2026 E. 5 und 6, D-5641/2025 vom 27. Mai 2026 E. 5 und 6 und D-243/2025 vom 26. Mai 2026 E. 6 und 7).</w:t>
      </w:r>
    </w:p>
    <w:p>
      <w:r>
        <w:rPr>
          <w:b/>
        </w:rPr>
        <w:t>E. 6.2</w:t>
      </w:r>
    </w:p>
    <w:p>
      <w:r>
        <w:t>Die Beschwerde ist vor diesem Hintergrund gutzuheissen, soweit die Aufhebung der angefochtenen Verfügung und die Rückweisung der Sache zur vollständigen Feststellung des Sachverhalts an die Vorinstanz beantragt werden. Die Verfügung des SEM vom 28. März 2022 ist dementsprechend aufzuheben und die Sache im Sinne der vorstehenden Erwägung zur vollständigen Feststellung des Sachverhalts an die Vorinstanz zurückzuweisen. Bei dieser Sachlage erübrigt sich eine Auseinandersetzung mit den weiteren Ausführungen in den Rechtsschriften, weil sie Gegenstand des wiederaufzunehmenden materiellen Verfahrens sein werden und das SEM sich damit zu befassen haben wird.</w:t>
      </w:r>
    </w:p>
    <w:p>
      <w:r>
        <w:rPr>
          <w:b/>
        </w:rPr>
        <w:t>E. 7.1</w:t>
      </w:r>
    </w:p>
    <w:p>
      <w:r>
        <w:t>Bei diesem Ausgang des Verfahrens sind keine Kosten zu erheben (Art. 63 Abs. 1 und 2 VwVG).</w:t>
      </w:r>
    </w:p>
    <w:p>
      <w:r>
        <w:rPr>
          <w:b/>
        </w:rPr>
        <w:t>E. 7.2</w:t>
      </w:r>
    </w:p>
    <w:p>
      <w:r>
        <w:t>Der Beschwerdeführerin ist angesichts ihres Obsiegens in Anwendung von Art. 64 VwVG und Art. 7 Abs. 1 des Reglements vom 21. Februar 2008 über die Kosten und Entschädigungen vor dem Bundesverwaltungsgericht (VGKE, SR 173.320.2) zulasten der Vorinstanz eine Entschädigung für die ihr notwendigerweise erwachsenen Parteikosten zuzusprechen. Die bisherige Rechtsvertreterin machte in ihrer Kostennote vom 27. Juli 2022 einen Aufwand von 38.91 Stunden zu einem Stundenansatz von Fr. 150.- zuzüglich Mehrwertsteuer geltend. Der ausgewiesene Aufwand von 34 Stunden für das Verfassen von zu diesem Zeitpunkt 32 Seiten an rechtlichen Ausführungen (Beschwerde und Replik) erscheint vorliegend nicht als angemessen. Dieser ist auf 14 Stunden zu reduzieren, zumal in der Beschwerdeschrift häufig aus den Anhörungsprotokollen zitiert wird. Indessen wurden im Verlauf des Verfahrens weitere Eingaben zu den Akten gereicht (insbesondere Verfahrensstandsanfragen und weitere Beweismitteleingaben), welche in der Kostennote noch nicht berücksichtigt werden konnten. Auf die Nachforderung einer aktualisierten Kostennote kann jedoch verzichtet werden, da sich der diesbezügliche Aufwand aufgrund der Akten hinreichend zuverlässig abschätzen lässt (Art. 14 Abs. 2 VGKE). Gestützt auf die in Betracht zu ziehenden Bemessungsfaktoren (Art. 9 - 13 VGKE) ist der Beschwerdeführerin zulasten der Vorinstanz eine Parteientschädigung von insgesamt Fr. 2'920.- (inkl. Auslagen und Mehrwertsteuerzuschlag im Sinne von Art. 9 Abs. 1 Bst. c VGKE) zuzusprechen. Dieser Betrag ist der Beschwerdeführerin durch das SEM zu entrichten.</w:t>
      </w:r>
    </w:p>
    <w:p>
      <w:r>
        <w:rPr>
          <w:b/>
        </w:rPr>
        <w:t>E. 7.3</w:t>
      </w:r>
    </w:p>
    <w:p>
      <w:r>
        <w:t>Mit dieser Kostenregelung ist die der Beschwerdeführerin mit Zwischenverfügung vom 6. Mai 2022 gewährte unentgeltliche Rechtspflege aufgrund Subsidiarität gegenstandslos geworden. Das mit Eingabe vom 12. April 2026 (sinngemäss) gestellte Gesuch um Entlassung von B._______ aus ihrem Amt als amtliche Rechtsbeiständin ist gehörig begründet und gutzuheissen. B._______ ist somit von ihrem amtlichen Mandat zu entbinden.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