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E-1964/2008 vom 17. April 2012</w:t>
      </w:r>
    </w:p>
    <w:p>
      <w:r>
        <w:t>Bundesverwaltungsgericht, 2012-04-17, DE</w:t>
      </w:r>
    </w:p>
    <w:p>
      <w:r>
        <w:rPr>
          <w:b/>
        </w:rPr>
        <w:t xml:space="preserve">Quelle: </w:t>
      </w:r>
      <w:r>
        <w:t>https://mcp.opencaselaw.ch/entscheid/bvger_E-1964_2008</w:t>
      </w:r>
    </w:p>
    <w:p>
      <w:r>
        <w:t>FR: TAF E-1964/2008 du 17 avril 2012</w:t>
      </w:r>
    </w:p>
    <w:p>
      <w:r>
        <w:t>IT: TAF E-1964/2008 del 17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begehrt unter anderem die Rückweisung der Angelegenheit an die Vorinstanz. Zwar begründet er dieses aus der Sicht der Verfahrenslogik fälschlicherweise als Eventualantrag bezeichnete Be­gehren nicht konkret, ergänzt aber in seiner Beschwerdeeingabe den vom BFM in der Verfügung festgestellten Sachverhalt um die Vorkommnisse rund um die Familie (...). Wie bereits anlässlich des erstinstanzlichen Asylverfahrens geltend gemacht, wiederholt er ferner seine Befürchtung, auch aufgrund seiner familiären Herkunft in asylrelevanter Weise gefährdet zu sein, und moniert schliesslich im Rahmen seiner Duplik vom 28. Dezember 2009, das BFM habe zu Unrecht zu den seine Familienangehörigen betreffenden Urteilen des Bundesverwaltungsgerichts nicht Stellung genommen. Damit rügt er sinngemäss eine mangelhafte Feststellung des rechtserheblichen Sachverhalts und die Verletzung seines Anspruchs auf rechtliches Gehör. Sowohl die unrichtige oder unvollständige Feststellung des Sachverhalts als auch die Verletzung von Verfahrensregeln können unter Umständen zur Kassation der angefochtenen Verfügung führen, weshalb diese Rügen vorab zu prüfen sind.</w:t>
      </w:r>
    </w:p>
    <w:p>
      <w:r>
        <w:rPr>
          <w:b/>
        </w:rPr>
        <w:t>E. 4.1</w:t>
      </w:r>
    </w:p>
    <w:p>
      <w:r>
        <w:t>Der Beschwerdeführer hat von Beginn seines Asylverfahrens in der Schweiz vorgebracht, er gehöre der Grossfamilie (...) aus B._______ an und sei - unter anderem - deswegen in der Türkei in asylrelevanter Weise gefährdet. Er bezog sich auf seinen Onkel (...), das Ereignis vom (...) sowie die Klage seines Onkels gegen den türkischen Staat. Er machte auch geltend, die Familie (...) habe seitens der schweizerischen Behörden Einreisevisa erhalten. Schliesslich führte er eine verwandtschaftliche Beziehung zu (...) an. Für das BFM war damit ohne Weiteres erkennbar, dass diese Vorbringen im Hinblick auf Art. 3 AsylG erheblich sein könnten, zumal die Asylverfahren der Angehörigen der Grossfamilie (...) im damaligen Zeitpunkt alle erstinstanzlich hängig waren (bzw. am (...) entschieden wurden), nachdem die Schweizerische Asylrekurskommission (ARK) in ihrem Urteil vom (...) das BFM angewiesen hatte, (...) und seinen Angehörigen die Einreise zu bewilligen mit der Begründung, sie seien in der Türkei im Sinne von Art. 3 AsylG gefährdet. Zweifellos war dem BFM ebenso bekannt, dass die Frage der Reflexverfolgung vor dem Hintergrund des Herkunftslandes Türkei nach wie vor aktuell ist (vgl. die vom Bundesverwaltungericht weitergeführte Praxis gemäss Entscheidungen und Mitteilungen der Schweizerischen Asylrekurskommission [EMARK] 2005 Nr. 21 E. 10.2.3). Indem diese Umstände weder aus dem Sachverhalt noch den Erwägungen der angefochtenen Verfügung in irgend einer Weise hervorgehen, hat das BFM den Sachverhalt unvollständig festgestellt (Art. 49 Bst. b VwVG). Der Versuch des Bundesverwaltungsgerichts, den Mangel allenfalls im Rahmen des Schriftenwechsels zu heilen, ist misslungen, sah sich das BFM doch auch nach der Gutheissung der Beschwerden der Familienangehörigen durch das Bundesverwaltungsgericht, mit welchen das BFM angewiesen wurde, diesen Asyl zu gewähren, nicht veranlasst, die Asylvorbringen des Beschwerdeführers im Zusammenhang mit seiner Familienzugehörigkeit unter dem Aspekt der Verfolgung als Familienmitglied beziehungsweise demjenigen der Reflexverfolgung zu würdigen. Auch wenn das Bundesverwaltungsgericht möglicherweise die Entscheidreife selber herbeiführen könnte, steht bereits dieser Mangel einem reformatorischen Entscheid entgegen.</w:t>
      </w:r>
    </w:p>
    <w:p>
      <w:r>
        <w:rPr>
          <w:b/>
        </w:rPr>
        <w:t>E. 4.2</w:t>
      </w:r>
    </w:p>
    <w:p>
      <w:r>
        <w:t>Der mit Grundrechtsqualität ausgestattete Grundsatz des rechtlichen Gehörs gemäss Art. 29 Abs. 2 der Bundesverfassung der Schweizerischen Eidgenossenschaft vom 18. April 1999 (BV, SR 101) umfasst eine Anzahl verschiedener verfassungsrechtlicher Verfahrensgarantien. Der in Art. 32 VwVG konkretisierte Teilgehalt des Anspruchs auf rechtliches Gehör verpflichtet die Behörde nicht nur, den Parteien zu ermöglichen, sich zu äussern, und deren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Dabei kann sich die Behörde in ihrer Argumentation zwar auf die für den Entscheid wesentlichen Gesichtspunkte beschränken; sie darf aber nur diejenigen Argumente stillschweigend übergehen, die für den Entscheid erkennbarerweise unbehelflich sind (vgl. BVGE 2007/21 E. 10.2 mit Hinweisen auf die bundesgerichtliche Rechtspre­chung und die einschlägige Literatur; Patrick Sutter in Kommentar zum Bundesgesetz über das Verwaltungsverfahren [VwVG], Hrsg. Auer/Mül­ler/Schindler, Zürich/St. Gallen 2008, Rz. 2 zu Art. 32 Abs. 1 VwVG). Die Begründung eines Entscheides muss auf jeden Fall so abgefasst sein, dass ihn der Betroffene gegebenenfalls sachgerecht anfechten kann (vgl. BGE 134 I 183 E. 4.1, 124 V 180 E. 1a). Vorliegend ist das BFM seinen so umschriebenen Pflichten nicht nachgekommen. Aus der angefochtenen Verfügung und den beiden knapp abgefassten Vernehmlassungen geht nicht hervor, ob die Vorinstanz die familiäre Zugehörigkeit des Beschwerdeführers überhaupt zur Kenntnis genommen hat und ob sie seine geltend gemachte Identität als bewiesen oder glaubhaft gemacht anerkennt. Entsprechend schweigt sie sich vollends aus über alle Aspekte, die im Zusammenhang mit der Zugehörigkeit zur (Gross-)Familie (...) im Hinblick auf eine Gefährdung im Sinne von Art. 3 AsylG von Bedeutung sein könnten. Auch die angebliche verwandtschaftliche Beziehung zu (...) wird vom BFM übergangen. Eine sachgerechte Anfechtung war dem Beschwerdeführer demzufolge nicht möglich. Der verfassungsmässige Anspruch auf rechtliches Gehör ist formeller (selbständiger) Natur, was bedeutet, dass dessen Verletzung grundsätzlich ungeachtet der Erfolgsaussichten der Beschwerde in der Sache selbst zur Aufhebung der angefochtenen Verfügung führt. Zwar kann die Beschwerdeinstanz ausnahmsweise, insbesondere aus prozessökonomischen Gründen, eine Gehörsverletzung heilen. Dazu sind aber vorliegend die Voraussetzungen nicht gegeben, zumal die Versäumnisse des BFM umso schwerer wiegen, als es sich bei dem nicht berücksichtigten Vorbringen um ein zentrales in der Asylbegründung handelt, das BFM es auch auf zweimalige Vernehmlassung hin versäumt hat, eine hinreichende Begründung nachzuliefern, und das Bundesverwaltungsgericht letztinstanzlich entscheidet (vgl. BVGE 2007/30 E. 8.2 f.).</w:t>
      </w:r>
    </w:p>
    <w:p>
      <w:r>
        <w:rPr>
          <w:b/>
        </w:rPr>
        <w:t>E. 5</w:t>
      </w:r>
    </w:p>
    <w:p>
      <w:r>
        <w:t>Nach dem Gesagten ist die Beschwerde gutzuheissen, die angefochtene Verfügung aufzuheben und das Verfahren zur Weiterführung an das BFM zurückzuweisen.</w:t>
      </w:r>
    </w:p>
    <w:p>
      <w:r>
        <w:rPr>
          <w:b/>
        </w:rPr>
        <w:t>E. 6</w:t>
      </w:r>
    </w:p>
    <w:p>
      <w:r>
        <w:t>Bei diesem Verfahrensausgang sind keine Kosten zu erheben (Art. 63 Abs. 1 VwVG). Die Behandlung des Gesuches um Gewährung der unent­geltlichen Prozessführung erübrigt sich infolge Gegenstandslosigkeit.</w:t>
      </w:r>
    </w:p>
    <w:p>
      <w:r>
        <w:rPr>
          <w:b/>
        </w:rPr>
        <w:t>E. 7</w:t>
      </w:r>
    </w:p>
    <w:p>
      <w:r>
        <w:t>Der obsiegenden Partei ist für die ihr erwachsenen notwendigen Kosten eine Parteientschädigung auszurichten (Art. 7 Abs. 1 des Reglements vom 21. Februar 2008 über die Kosten und Entschädigungen vor dem Bundesverwaltungsgericht [VGKE, SR 173.320.2]). Der Rechtsvertreter weist in seinen Kostennoten vom 3. November 2008 und 24. Dezember 2009 eine Dossiereröffnungspauschale von Fr. 50. , einen Zeitaufwand von 16 3/4 Stunden und eine Auslagenpauschale von Fr. 50. aus; er macht einen Stundenansatz von Fr. 250. geltend. Abgesehen von der so genannten Dossiereröffnungspauschale, welche praxisgemäss nicht entschädigt wird, erscheinen die sich ergebenden Kosten der Vertretung im Betrag von Fr. 4237.50 angemessen. Das BFM ist anzuweisen, den Beschwerdeführer in diesem Umfang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