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E-1962/2015 vom 2. April 2015</w:t>
      </w:r>
    </w:p>
    <w:p>
      <w:r>
        <w:t>Bundesverwaltungsgericht, 2015-04-02, DE</w:t>
      </w:r>
    </w:p>
    <w:p>
      <w:r>
        <w:rPr>
          <w:b/>
        </w:rPr>
        <w:t xml:space="preserve">Quelle: </w:t>
      </w:r>
      <w:r>
        <w:t>https://mcp.opencaselaw.ch/entscheid/bvger_E-1962_2015</w:t>
      </w:r>
    </w:p>
    <w:p>
      <w:r>
        <w:t>FR: TAF E-1962/2015 du 2 avril 2015</w:t>
      </w:r>
    </w:p>
    <w:p>
      <w:r>
        <w:t>IT: TAF E-1962/2015 del 2 aprile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(Art. 3 AsylG).</w:t>
      </w:r>
    </w:p>
    <w:p>
      <w:r>
        <w:rPr>
          <w:b/>
        </w:rPr>
        <w:t>E. 4.1</w:t>
      </w:r>
    </w:p>
    <w:p>
      <w:r>
        <w:t>Die Vorinstanz gelangt in der angefochtenen Verfügung zum Schluss, die Vorbringen der Beschwerdeführerin hielten den Anforderungen an die Flüchtlingseigenschaft gemäss Art. 3 AsylG nicht stand. Gemäss eigenen Angaben wäre die Beschwerdeführerin nicht ausgereist, wäre sie nicht von ihrem Bruder und ihrem Ex-Mann bedroht worden. Demnach sei die geltend gemachte Blutrache für die Ausreise nicht ausschlaggebend gewesen. Dies umso mehr, als die Beschwerdeführerin im Rahmen der Blutrache nie konkret bedroht worden und in diesem Konflikt eine Besa geschlossen worden sei. Was die geltend gemachte Bedrohung durch den Bruder und Ehemann anbelange so sei zunächst darauf hinzuweisen, dass Albanien seit dem Beschluss des Bundesrates vom 5. Oktober 1993 als verfolgungssicheres Land (sog. Safe Country) gelte. Die angeführten Bedrohungen würden strafbare Handlungen darstellen, die von den albanischen Strafverfolgungsbehörden im Rahmen ihrer Möglichkeiten verfolgt und geahndet würden. Es sei der Beschwerdeführerin zuzumuten, sich an die zuständigen heimatlichen Behörden zu wenden, allenfalls unter Beizug eines Rechtsvertreters.</w:t>
      </w:r>
    </w:p>
    <w:p>
      <w:r>
        <w:rPr>
          <w:b/>
        </w:rPr>
        <w:t>E. 4.2</w:t>
      </w:r>
    </w:p>
    <w:p>
      <w:r>
        <w:t>In der Rechtsmitteleingabe macht die Beschwerdeführerin sinngemäss geltend, die Vorinstanz habe sie zu Unrecht nicht als Flüchtling anerkannt und damit Bundesrecht verletzt. Der vorinstanzliche Schluss ist indes nicht zu beanstanden. In der angefochtenen Verfügung wird ausführlich dargelegt, weshalb die Beschwerdeführerin die Voraussetzungen zur Anerkennung als Flüchtling nicht erfüllt. Was in der Rechtsmitteleingabe dagegen vorgebracht wird, ist nicht geeignet, einen anderen Schluss zu ziehen. Namentlich legt die Beschwerdeführerin mit dem blossen Wiederholen des aktenkundigen Sachverhalts nicht dar, inwiefern die Vorinstanz zu Unrecht das Vorliegen der Flüchtlingseigenschaft verneint hat. Mit der Vorinstanz ist nochmals festzuhalten, dass der albanische Staat im Rahmen des Strafrechts Möglichkeiten zum Schutz vor Übergriffen Dritter bietet, mithin es der Beschwerdeführerin zuzumuten ist, sich an die zuständigen Strafverfolgungsbehörden zu wenden, allenfalls unter Beizug eines Rechtsanwalts. Sodann ist darauf hinzuweisen, dass Albanien zum Schutz vor häuslicher Gewalt seit dem 1. Juni 2007 über ein Gewaltschutzgesetz verfügt. Dieses Gesetz sieht ein Netzwerk verschiedener Behörden sowie eine Schutzanordnung für Opfer häuslicher Gewalt vor. Darüber hinaus ist auf das Beratungszentrum Councelling Center for abused Women and Girls (CCWG) in Tirana hinzuweisen, welches der Beschwerdeführerin Hilfe bei einem allfälligen Vorgehen gegen ihre Familie im Zusammenhang mit der erlittenen oder allenfalls zukünftig sich ergebenden häuslichen Gewalt (Drohungen) bieten kann. Zusammenfassend ist somit festzuhalten, dass die Vorinstanz das Asylgesuch zu Recht abgelehnt hat.</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für den Fall einer Ausschaffung nach Albanien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Mit der Vorinstanz ist festzuhalten, dass (...) Geschwister der Beschwerdeführerin in Albanien leben, sie damit über ein familiäres Beziehungsnetz verfügt. Sodann hat sie das Gymnasium abgeschlossen, (...) Privatunterricht genommen und Arbeitserfahrungen als (...). Gemäss ihren eigenen Angaben wäre sie nicht ausgereist, könnte sie frei leben und arbeiten. Es ist demnach davon auszugehen, dass die Beschwerdeführerin bereit wäre, sich eine eigene wirtschaftliche Existenz aufzubauen. Was die benötigten (...) sowie (...) anbelangt, hat sie diese bereits vor der Ausreise während Jahren beziehen können, mithin ist davon auszugehen, dass sie diese auch weiterhin erhalten wird. Schliesslich steht es der Beschwerdeführerin frei, bei der kantonalen Rückkehrberatungsstelle einen Antrag auf medizinische Rückkehrhilfe zu stellen. Im diesem Rahmen wird ihr auch während und nach der Rückkehr Unterstützung gewährt werden können (Art. 93 AsylG i.V.m. Art. 73 ff. AsylV 2 [SR 142.312] sowie Weisungen des BFM vom 1. Januar 2008 betreffend Rückkehr- und Wiedereingliederungshilfe). Der Vollzug der Wegweisung ist demnach zumutbar. Bei dieser Sachlage besteht keine Veranlassung, Frist zur Einreichung von Beweismitteln anzusetzen. Der entsprechende Antrag ist abzuweisen.</w:t>
      </w:r>
    </w:p>
    <w:p>
      <w:r>
        <w:rPr>
          <w:b/>
        </w:rPr>
        <w:t>E. 6.3</w:t>
      </w:r>
    </w:p>
    <w:p>
      <w:r>
        <w:t>Es obliegt der Beschwerdeführerin, sich bei der zuständigen Vertretung Albaniens die für eine Rückkehr notwendigen Reisedokumente für sich zu beschaffen (Art. 8 Abs. 4 AsylG und dazu auch BVGE 2008/34 E. 12 S. 513 - 515), weshalb der Vollzug der Wegweisung auch als möglich zu bezeichnen ist (Art. 83 Abs. 2 AuG).</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Aus diesen Erwägungen ergibt sich, dass die angefochtene Verfügung Bundesrecht nicht verletzt und auch sonst nicht zu beanstanden ist (Art. 106 AsylG). Die Beschwerde ist abzuweisen. Mit dem Urteil ist der Antrag, es sei von Vollzugshandlungen abzusehen, gegenstandslos geworden.</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