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E-1949/2012 vom 25. April 2012</w:t>
      </w:r>
    </w:p>
    <w:p>
      <w:r>
        <w:t>Bundesverwaltungsgericht, 2012-04-25, DE</w:t>
      </w:r>
    </w:p>
    <w:p>
      <w:r>
        <w:rPr>
          <w:b/>
        </w:rPr>
        <w:t xml:space="preserve">Quelle: </w:t>
      </w:r>
      <w:r>
        <w:t>https://mcp.opencaselaw.ch/entscheid/bvger_E-1949_2012</w:t>
      </w:r>
    </w:p>
    <w:p>
      <w:r>
        <w:t>FR: TAF E-1949/2012 du 25 avril 2012</w:t>
      </w:r>
    </w:p>
    <w:p>
      <w:r>
        <w:t>IT: TAF E-1949/2012 del 25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Über offensichtlich begründete oder unbegründete Beschwerden wird in einzelrichterlicher Zuständigkeit mit Zustimmung eines zweiten Richters beziehungsweise einer zweiten Richterin entschieden (Art. 111 Bst. e AsylG). Vorliegende Beschwerdesache ist - wie nachfolgend aufgezeigt - als offensichtlich begründet zu erkennen, weshalb der Beschwerdeentscheid nur summarisch zu begründen ist (Art. 111a Abs. 2 AsylG). Gleichzeitig ist auf einen Schriftenwechsel zu verzichten (Art. 111a Abs. 1 AsylG).</w:t>
      </w:r>
    </w:p>
    <w:p>
      <w:r>
        <w:rPr>
          <w:b/>
        </w:rPr>
        <w:t>E. 3.1</w:t>
      </w:r>
    </w:p>
    <w:p>
      <w:r>
        <w:t>Gemäss Art. 6 der Asylverordnung 1 vom 11. August 1999 (AsylV 1, SR 142.311) wird eine asylsuchende Person von einer Person gleichen Geschlechts angehört, wenn konkrete Hinweise auf geschlechtsspezifi­sche Verfolgung vorliegen oder die Situation im Herkunftsland auf ge­schlechtsspezifische Verfolgung hindeutet. Geschlechtsspezifisch ist eine Verfolgung dann, wenn sie in der Form sexueller Gewalt stattfindet oder die sexuelle Identität des Opfers treffen soll (Entscheidungen und Mitteilungen der [vormaligen] Schweizerischen Asylrekurskommission [EMARK] 2003 Nr. 2 E. 5a und b S. 16 ff.). Diese Verfahrensvorschrift ist nicht nur dann anzuwenden, wenn dies von der betroffenen asylsuchenden Person ausdrücklich verlangt wird; vielmehr verpflichtet sie die zuständige Behörde dazu, auf die darin vorgesehene Weise vorzugehen, sobald entsprechende Hinweise vorliegen. Dies ergibt sich aus der Tatsache, dass Art. 6 AsylV 1 auch eine Ausgestaltung des rechtlichen Gehörs ist, weil diese Bestimmung als Schutzvorschrift be­zweckt, Asylsuchenden zu ermöglichen, ihre Vorbringen angemessen vorzutragen, das heisst konkret erlittene Übergriffe möglichst frei und von Schamgefühlen oder Angst unbeeinträchtigt zu schildern. Gleichzeitig dient die Bestimmung aber auch dazu, die Richtigkeit der Sachverhaltsabklärung zu gewährleisten. Aus diesen Gründen ist Art. 6 AsylV 1 grundsätzlich von Amtes wegen anzuwenden (vgl. EMARK 2003 Nr. 2 E. 5c S. 19 f.).</w:t>
      </w:r>
    </w:p>
    <w:p>
      <w:r>
        <w:rPr>
          <w:b/>
        </w:rPr>
        <w:t>E. 3.2</w:t>
      </w:r>
    </w:p>
    <w:p>
      <w:r>
        <w:t>Für den vorliegenden Fall ist Folgendes festzustellen: In der Erstbefragung machte die Beschwerdeführerin noch keine geschlechtsspezifische Verfolgung geltend. Demzufolge bestand für das BFM keine Veranlassung, für die Direktanhörung vom 14. März 2011 ein reines Frauenteam aufzubieten. Es ist somit grundsätzlich nicht zu beanstanden, dass anlässlich der Direktanhörung ein Befrager des BFM, ein Dolmetscher sowie eine Hilfswerkvertreterin anwesend waren (vgl. A30, S. 1). Im Verlauf dieser Anhörung brachte die Beschwerdeführerin dann (erstmals) vor, ein Soldat der sri-lankischen Armee habe sie tätlich angegriffen und habe versucht, sie zu vergewaltigen. Nach diesem Vorfall habe sie versucht, sich das Leben zu nehmen (A30, S. 8). Entgegen der von der Vorinstanz in der angefochtenen Verfügung vertretenen Auffassung können diese Vorbringen nicht mit der Begründung als unglaubhaft erachtet werden, dass die Beschwerdeführerin sie anlässlich der Erstbefragung nicht erwähnte. Dass eine Vergewaltigung verspätet vorgebracht wird, kann durch Gefühle von Schuld und Scham sowie einen vom Opfer entwickelten Selbstschutz-Mechanismus erklärt werden (vgl. EMARK 2003 Nr. 17 E. 4). Ferner hat die Beschwerdeführerin im Rahmen der Anhörung zwar nur von einer versuchten Vergewaltigung gesprochen. Es kann aber nicht ausgeschlossen werden, dass sie aus Scham gegenüber den bei der Anhörung anwesenden männlichen Personen (Befrager, Dolmetscher) darauf verzichtete, den geltend gemachten Übergriff in seiner vollen Tragweite zu schildern. Es ist in diesem Zusammenhang zu beachten, dass die Tochter F._______ im Rahmen ihrer eigenen Befragung den Selbstmordversuch der Beschwerdeführerin bestätigt hat (A31, S. 5). Die bei der Anhörung der Beschwerdeführerin anwesende Hilfswerkvertreterin hielt auf dem Unterschriftenblatt schriftlich fest, sie habe angeregt, die Beschwerdeführerin sollte auf ihr Recht auf eine Befragung durch ein gleichgeschlechtliches Team aufmerksam gemacht werden. Die Befragung sei aber ohne entsprechenden Hinweis fortgesetzt worden. Angesichts der Tatsache, dass es der Befrager anlässlich der Anhörung unterlassen hat, die Beschwerdeführerin über ihre diesbezüglichen Rechte aufzuklären, ist auch nicht davon auszugehen, sie habe auf eine Anhörung durch ein reines Frauenteam ausdrücklich verzichtet.</w:t>
      </w:r>
    </w:p>
    <w:p>
      <w:r>
        <w:rPr>
          <w:b/>
        </w:rPr>
        <w:t>E. 3.3</w:t>
      </w:r>
    </w:p>
    <w:p>
      <w:r>
        <w:t>Gestützt auf die vorstehenden Ausführungen ist festzustellen, dass die protokollierten Aussagen der Beschwerdeführerin in der Direktanhörung überwiegend glaubhafte Hinweise auf eine geschlechtsspezifische Verfolgung enthalten. Mit Blick auf die vorstehenden Erwägungen folgt daraus, dass das BFM vorliegend verpflichtet gewesen wäre, die Schutzvorschrift von Art. 6 AsylV 1 anzuwenden, namentlich die Anhörung abzubrechen und - allenfalls zu einem späteren Zeitpunkt - eine Anhörung durch ein reines Frauenteam zu veranlassen.</w:t>
      </w:r>
    </w:p>
    <w:p>
      <w:r>
        <w:rPr>
          <w:b/>
        </w:rPr>
        <w:t>E. 3.4</w:t>
      </w:r>
    </w:p>
    <w:p>
      <w:r>
        <w:t>Zusammenfassend ergibt sich, dass das Bundesamt durch die vorliegend als pflichtwidrig zu qualifizierende Nichtanwendung von Art. 6 AsylV 1 den Anspruch der Beschwerdeführerin auf rechtliches Gehör verletzt, den rechtserheblichen Sachverhalt unrichtig respektive unvollständig festgestellt und damit Bundesrecht verletzt hat. Angesichts der formel-len Natur des Anspruchs auf rechtliches Gehör spielt von vornherein keine Rolle, ob die Missachtung der Verfahrensvorschrift von Art. 6 AsylV 1 auch Einfluss auf das Ergebnis hatte.</w:t>
      </w:r>
    </w:p>
    <w:p>
      <w:r>
        <w:rPr>
          <w:b/>
        </w:rPr>
        <w:t>E. 4</w:t>
      </w:r>
    </w:p>
    <w:p>
      <w:r>
        <w:t>Beschwerden gegen Verfügungen des BFM betreffend die Verweigerung des Asyls und die Anordnung der Wegweisung haben grundsätzlich reformatorischen und nur ausnahmsweise kassatorischen Charakter (Art. 105 AsylG sowie Art. 6 AsylG i.V.m. Art. 61 Abs. 1 VwVG). Eine reformatorische Entscheidung setzt indessen voraus, dass die Sache entscheidreif ist; dazu muss insbesondere der rechtserhebliche Sachverhalt richtig und vollständig festgestellt worden sein. Dies ist vorliegend nicht der Fall. Es kann nicht Sinn des Beschwerdeverfahrens sein, für eine vollständige Feststellung des rechtserheblichen Sachverhalts zu sorgen, wenn im vorinstanzlichen Verfahren die erforderlichen Sachverhaltsabklärungen unterblieben sind (EMARK 2004 Nr. 38 E. 7). Vorliegend ist es insbesondere nicht Sache des Bundesverwaltungsgerichts, die vom BFM pflichtwidrig unterlassene Anhörung der Beschwerdeführerin durch ein reines Frauenteam nachzuholen. Abgesehen davon ginge der Beschwerdeführerin dadurch eine Überprüfungsinstanz verloren.</w:t>
      </w:r>
    </w:p>
    <w:p>
      <w:r>
        <w:rPr>
          <w:b/>
        </w:rPr>
        <w:t>E. 5</w:t>
      </w:r>
    </w:p>
    <w:p>
      <w:r>
        <w:t>Bei dieser Sachlage ist die Beschwerde im Sinne der Erwägungen gutzuheissen. Die Verfügung der Vorinstanz vom 6. März 2012 ist aufzuheben und das BFM anzuweisen, der Beschwerdeführerin das rechtliche Gehör im Sinne der Erwägungen zu gewähren, den rechtserheblichen Sachverhalt richtig respektive vollständig festzustellen und über das Asylgesuch neu zu entscheiden. Auf die im Beschwerdeverfahren in reformatorischer Hinsicht gestellten Rechtsbegehren und deren Begründung sowie insbesondere auf den Antrag auf Gewährung einer ergänzenden Akteneinsicht ist bei diesem Verfahrensausgang nicht einzugehen, weil es Sache des Bundesamtes sein wird, sich damit zu befassen.</w:t>
      </w:r>
    </w:p>
    <w:p>
      <w:r>
        <w:rPr>
          <w:b/>
        </w:rPr>
        <w:t>E. 6</w:t>
      </w:r>
    </w:p>
    <w:p>
      <w:r>
        <w:t>Bei diesem Ausgang des Beschwerdeverfahrens sind keine Verfah­rens­kosten aufzuerlegen (Art. 63 Abs. 1 VwVG).</w:t>
      </w:r>
    </w:p>
    <w:p>
      <w:r>
        <w:rPr>
          <w:b/>
        </w:rPr>
        <w:t>E. 7</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Gemäss Art. 14 Abs. 1 VGKE haben die Parteien, die Anspruch auf Parteientschädigung erheben, und die amtlich bestellten Anwälte und Anwältinnen dem Gericht vor dem Ent­scheid eine detaillierte Kostennote einzureichen. Vorliegend hat der Rechtsvertreter keine Kostennote eingereicht, obschon ihm dies im Rah­men der Eingabe vom 10. April 2012 möglich gewesen wäre. Der Vertretungsaufwand lässt sich indessen aufgrund der Verfahrensakten verlässlich einschätzen. Der Antrag auf angemessene Fristanset­zung zur Einreichung einer detaillierten Kostennote ist deshalb abzuwei­sen. Die Parteientschädigung ist auf Grund der Akten (Art. 14 Abs. 2 in fine VGKE) unter Berücksichtigung der massgeblichen Bemessungsfaktoren (vgl. Art. 8 ff. VGKE) auf Fr. 1'200.-- (inkl. Auslagen und Mehrwert­steuer) festzusetzen. Das BFM ist anzuweisen, den Beschwerdeführenden diesen Betrag als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