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E-1948/2018 vom 12. Juni 2018</w:t>
      </w:r>
    </w:p>
    <w:p>
      <w:r>
        <w:t>Bundesverwaltungsgericht, 2018-06-12, DE</w:t>
      </w:r>
    </w:p>
    <w:p>
      <w:r>
        <w:rPr>
          <w:b/>
        </w:rPr>
        <w:t xml:space="preserve">Quelle: </w:t>
      </w:r>
      <w:r>
        <w:t>https://mcp.opencaselaw.ch/entscheid/bvger_E-1948_2018</w:t>
      </w:r>
    </w:p>
    <w:p>
      <w:r>
        <w:t>FR: TAF E-1948/2018 du 12 juin 2018</w:t>
      </w:r>
    </w:p>
    <w:p>
      <w:r>
        <w:t>IT: TAF E-1948/2018 del 12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zum Schluss, die Vorbringen der Beschwerdeführerin genügten den Anforderungen an die Flüchtlingseigenschaft nicht, weshalb ihr kein Asyl gewährt werden könne.</w:t>
      </w:r>
    </w:p>
    <w:p>
      <w:r>
        <w:rPr>
          <w:b/>
        </w:rPr>
        <w:t>E. 4.1.1</w:t>
      </w:r>
    </w:p>
    <w:p>
      <w:r>
        <w:t>So hielt sie in ihren Erwägungen fest, die Probleme mit dem Vater seien zwar bedauerlich, würden jedoch die Intensität einer asylrelevanten Verfolgung nicht erreichen. Die Beschwerdeführerin hätte sich als erwachsene und berufstätige Frau diesen Konflikten durch einen Wegzug von zu Hause entziehen können, zumal sie den Grossteil ihres Lebens in Istanbul verbracht habe und mit den städtischen Verhältnissen vertraut gewesen sei.</w:t>
      </w:r>
    </w:p>
    <w:p>
      <w:r>
        <w:rPr>
          <w:b/>
        </w:rPr>
        <w:t>E. 4.1.2</w:t>
      </w:r>
    </w:p>
    <w:p>
      <w:r>
        <w:t>Hinsichtlich der drohenden Zwangsheirat führte das SEM einleitend aus, das durch die Beschwerdeführerin gezeichnete Bild des Vaters deute nicht darauf hin, dass es sich bei ihm um einen fundamentalistisch-religiösen Mann handle. Es sei zwar wegen der unterschiedlichen Auffassungen - beispielsweise bezüglich des Kopftuchtragens - zu Auseinandersetzungen gekommen; die Beschwerdeführerin habe jedoch auch dargelegt, die jüngere Schwester trage kein Kopftuch, habe die Schule abschliessen und ein Studium aufnehmen können. Dies lasse nicht auf eine zunehmende Radikalisierung des Vaters schliessen. Im Gegenteil sei er sich, wie auch die Beschwerdeführerin bemerkt habe, vielleicht bewusst geworden, dass eine Schulbildung von Vorteil sei. Sodann habe er die Beschwerdeführerin vor ihrem (...) Altersjahr hinsichtlich einer Heirat nie unter Druck gesetzt. Auch die Familie des Vaters sei offensichtlich nicht fundamentalistisch eingestellt; dies gehe aus den Schilderungen der Beschwerdeführerin hervor. Sodann sei diese entgegen den Ausführungen der jüngeren Schwester im Bestätigungsschreiben (vom 19. Mai 2014) nicht von der ganzen Familie verstossen worden, habe sie doch immer im Kontakt zu den Schwestern und ab und zu zur Mutter gestanden. Ausserdem pflege sie eine gute Beziehung zu ihrem Onkel väterlicherseits und ihren zwei Brüdern in der Schweiz und werde von diesen dauerhaft unterstützt.</w:t>
      </w:r>
    </w:p>
    <w:p>
      <w:r>
        <w:rPr>
          <w:b/>
        </w:rPr>
        <w:t>E. 4.1.3</w:t>
      </w:r>
    </w:p>
    <w:p>
      <w:r>
        <w:t>Es sei weiter festzuhalten, dass die türkischen Behörden, zumal in einer Grossstadt wie Istanbul, namentlich betreffend allfälliger Übergriffe von privater Seite - wie vorliegend des Vaters oder der Familie des dannzumal zur Heirat bestimmten Mannes - schutzwillig und grundsätzlich auch schutzfähig seien. Die Türkei habe in den vergangenen Jahren kontinuierlich Schritte zur Verbesserung der rechtlichen und gesellschaftlichen Situation der Frauen allgemein und deren Schutz vor Übergriffen mit sozio-kulturellem Hintergrund bis hin zum Ehrenmord unternommen. So sei auf das seit 2012 geltende Gesetz zum Schutz der Familie und zur Verhütung von Gewalt gegen Frauen, auf die 157 zugänglichen Familiengerichte sowie auf die in städtischen Verhältnissen angebotene Schutzinfrastruktur (in Form von Beratungsstellen bis hin zu Frauenhäusern) hinzuweisen. Weiter gelte in der Türkei grundsätzlich die Niederlassungsfreiheit. Diese erlaube es der Beschwerdeführerin, sollte sie nicht nach Istanbul oder ihren Geburtsort zurückkehren wollen, in einer anderen türkischen Grossstadt im Westen oder Südwesten des Landes Wohnsitz zu nehmen.</w:t>
      </w:r>
    </w:p>
    <w:p>
      <w:r>
        <w:rPr>
          <w:b/>
        </w:rPr>
        <w:t>E. 4.1.4</w:t>
      </w:r>
    </w:p>
    <w:p>
      <w:r>
        <w:t>Insgesamt seien die Vorbringen daher flüchtlingsrechtlich nicht relevant. Es könne vor diesem Hintergrund eine eingehende Prüfung der Glaubhaftigkeit der Darlegungen - es seien zeitliche und inhaltliche Divergenzen in den Aussagen vorhanden - letztlich unterbleiben.</w:t>
      </w:r>
    </w:p>
    <w:p>
      <w:r>
        <w:rPr>
          <w:b/>
        </w:rPr>
        <w:t>E. 4.2</w:t>
      </w:r>
    </w:p>
    <w:p>
      <w:r>
        <w:t>Im Rechtsmittel wird den vorinstanzlichen Erwägungen entgegen-gehalten, die frauenspezifischen Asyl- und Verfolgungsgründe seien im Gesetz explizit erwähnt. Vorliegend gehe es um eine gesundheitlich angeschlagene Frau aus einem islamischen Land, die lebenslang unterdrückt und benachteiligt worden sei. Im Fall einer Rückkehr wäre die Beschwerdeführerin vollständig ihrem Vater ausgeliefert; sie würde, da nun älter und nach gescheiterter Ehe, als Versagerin zurückkehren, was den Vater in seiner Lebensphilosophie bestärken würde. Die vor diesem Hintergrund einsetzende private Verfolgung würde "sicherlich vom Staat geduldet". Die Asylfrage sei daher zu bejahen. Die allgemeine Situation, besonders der Frauen, in der Türkei habe sich seit der Machtübernahme von Staatspräsident Erdogan verschlechtert. Die Ausführungen des SEM in der Verfügung betreffend Frauenhäuser, Polizeiunterstützung seien "einfach tatsachenwidrig". So seien im Internet hunderte Berichte von Übergriffen gegen Frauen und deren Benachteiligungen in der Türkei dokumentiert. Den beiden eingereichten Berichten sei zu entnehmen, dass diese Unterdrückung und die Rechtlosigkeit der Frauen ein Faktum sei. Staatlichen Schutz gebe es nicht, die schleichende Entrechtung der Frauen sei allgegenwärtig. Dabei handle es sich um eine fortschreitende Islamisierung seit der aktuelle Präsident an der Macht sei.</w:t>
      </w:r>
    </w:p>
    <w:p>
      <w:r>
        <w:rPr>
          <w:b/>
        </w:rPr>
        <w:t>E. 5.1</w:t>
      </w:r>
    </w:p>
    <w:p>
      <w:r>
        <w:t>Die Beschwerdeführerin macht geltend, der Vater sei mit den Jahren zunehmend religiöser und konservativer geworden. Sie habe nur wenige Jahre die Schule besuchen können und ihre späteren Erwerbstätigkeiten in Istanbul sowie ihre Weigerung, ein Kopftuch zu tragen, hätten zu wiederholten Konflikten mit dem Vater geführt, der nicht gewollt habe, dass sie arbeite. Hierzu ist mit der Vorinstanz festzuhalten, dass die geschilderten familiären Konflikte flüchtlingsrechtlich nicht relevant, insbesondere die geschilderten Streitigkeiten nicht intensiv genug im Sinn von Art. 3 AsylG sind und folglich nicht zur Bejahung der Flüchtlingseigenschaft führen können.</w:t>
      </w:r>
    </w:p>
    <w:p>
      <w:r>
        <w:rPr>
          <w:b/>
        </w:rPr>
        <w:t>E. 5.2.1</w:t>
      </w:r>
    </w:p>
    <w:p>
      <w:r>
        <w:t>Soweit die Beschwerdeführerin weiter geltend macht, sie habe sich mit ihrer Ausreise einer Zwangsverheiratung entzogen, ist festzustellen, dass auch diese Darlegungen - ungeachtet der tatsächlich feststellbaren inhaltlichen und zeitlichen Ungereimtheiten - nicht zur Bejahung der Flüchtlingseigenschaft zu führen vermögen: Eine allfällige Bedrohung vor diesem Hintergrund ist als eine Verfolgung durch einen nicht-staatlichen Akteur zu beurteilen. Dabei erweisen sich die entsprechenden Ausführungen der Vorinstanz entgegen der in der Beschwerde vertretenen Auffassung als korrekt und praxiskonform:</w:t>
      </w:r>
    </w:p>
    <w:p>
      <w:r>
        <w:rPr>
          <w:b/>
        </w:rPr>
        <w:t>E. 5.2.2</w:t>
      </w:r>
    </w:p>
    <w:p>
      <w:r>
        <w:t>Das Bundesverwaltungsgericht hat sich in den letzten Jahren mehrfach zur Schutzfähigkeit und zum Schutzwillen der türkischen Behörden hinsichtlich des Umgangs mit Opfern von häuslicher Gewalt und Zwangsheirat geäussert (vgl. zum Folgenden insbesondere die Urteile BVGer E-3040/2017 vom 28. Juli 2017 E. 4.5, D-5700/2014 vom 28. April 2016 E. 4.2, D-3305/2015 vom 4. Januar 2016 E. 6.3 f., E-1691/2015 vom 30. April 2015 E. 4.3, E-2166/2015 vom 30. April 2015 E. 6.2, D-4592/2013 vom 8. Januar 2014 E. 5.1, je mit weiteren Hinweisen) und dabei zusammenfassend Folgendes festgestellt: Die Türkei hat in den vergangenen Jahren kontinuierliche Schritte zur Verbesserung der rechtlichen und gesellschaftlichen Situation der Frauen und im Besonderen zu deren Schutz vor Übergriffen mit soziokulturellem Hintergrund (bis hin zum Ehrenmord) unternommen. Im Jahr 2012 ist das Gesetz Nr. 6284 zum Schutz der Familie und zur Verhütung von Gewalt gegen Frauen in Kraft getreten. Dieses zielt auf den Opferschutz und die Anordnung von verschiedenen Sicherheits- und Unterstützungsmassnahmen ab, wobei alle Frauen, einschliesslich der Unverheirateten, vom Schutz umfasst sind. Zur Umsetzung des im Jahre 1998 in Kraft getretenen, im Jahre 2007 ergänzten Familienschutzgesetzes Nr. 4320 sind 166 Familiengerichte geschaffen worden; der Zugang zu diesen Gerichten sowie die Vollstreckung ihrer Urteile sind für die klagende Partei kostenlos. Bei der Revision des Türkischen Strafgesetzbuchs im Jahre 2004 sind der Strafrahmen für Strafen bei Taten gegen Frauen erhöht und die Strafmilderungsgründe bei Fällen von Ehrenmord und Vergewaltigung aufgehoben worden. Bereits im Jahr 1990 wurden - offiziell als "Gästehäuser" bezeichnete - Frauenhäuser in der Türkei eröffnet, um Hilfe für Opfer von häuslicher Gewalt zu bieten. Das zuständige Ministerium arbeitet am Ausbau dieser Infrastruktur, um sicherzustellen, dass in jeder türkischen Provinz mindestens eine dieser temporären Zufluchtsstätten vorhanden ist. Auch wenn in der Türkei unbestreitbarerweise nach wie vor Ehrenmorde und häusliche Gewalt zu registrieren sind, bedeutet dies nicht, dass die bedrohten Frauen innerfamiliären Übergriffen völlig schutzlos ausgeliefert wären. Vielmehr zeigt sich gemäss vorstehenden Ausführungen, dass die türkischen Behörden entschlossen sind, gegen das Phänomen effektiv vorzugehen und dass sie grundsätzlich auch in der Lage sind, Schutz zu gewähren. In mehreren Urteilen und in den darin zitierten Berichten wird allerdings auf den Umstand hingewiesen, dass die Schutz-Infrastruktur in den städtischen Gebieten der Türkei dichter ist als in ruralen Gegenden (insbesondere Zentral- und Ostanatoliens).</w:t>
      </w:r>
    </w:p>
    <w:p>
      <w:r>
        <w:rPr>
          <w:b/>
        </w:rPr>
        <w:t>E. 5.2.3</w:t>
      </w:r>
    </w:p>
    <w:p>
      <w:r>
        <w:t>Es gibt Anzeichen dafür, dass die Türkei den oben beschriebenen Reformkurs seit einiger Zeit nicht mehr gleich kraftvoll weiter verfolgt. Der türkische Staatspräsident Erdogan war in den letzten Jahren wiederholt mit umstrittenen Äusserungen zur Rolle der Frau in der türkischen Gesellschaft in den Medien zitiert worden (vgl. etwa Zeit-Online, 24. November 2014, "Erdo an nennt Gleichberechtigung unnatürlich", https://www.zeit.de/politik/ausland/2014-11/tuerkei-erdogan-rede-gleichberechtigung, abgerufen am 29. Mai 2018; NBC-News, 8. Juni 2016, "Turkey's President Erdogan Calls Women Who Work 'Half Persons' ", https://www.nbcnews.com/ news/world/turkeys-president-erdogan-calls-women-who-work-half-perso ns-n586421, abgerufen am 29. Mai 2018). Im November 2016 brachte seine Regierungspartei AKP (Adalet ve Kalkinma Partisi, Partei für Gerechtigkeit und Aufschwung) überraschend den Entwurf eines Amnestiegesetzes ins Parlament ein, der Sexualtäter in Einzelfällen vor Strafe schützen wollte, wenn sie ihr minderjähriges Opfer heiraten (vgl. Neue Zürcher Zeitung [NZZ], 21. November 2016, Kindsmissbrauch - Ankara plant Amnestie); nach heftigen Protesten der Opposition und des Kinderhilfswerks der Vereinten Nationen (Unicef) wurde der Vorstoss zurückgezogen (vgl. Süddeutsche Zeitung vom 21. November 2016, Türkei zieht umstrittenen Gesetzentwurf zur Kinderehe zurück, http://www. sueddeutsche.de/politik/tuerkei-wenn-kinder-heiraten-muessen-1.3259497, abgerufen am 29. Mai 2018).</w:t>
      </w:r>
    </w:p>
    <w:p>
      <w:r>
        <w:rPr>
          <w:b/>
        </w:rPr>
        <w:t>E. 5.2.4</w:t>
      </w:r>
    </w:p>
    <w:p>
      <w:r>
        <w:t>In verschiedenen, dem Gericht vorliegenden Berichten wird zudem festgehalten, dass in der Türkei seit dem gescheiterten Putsch von Mitte Juli 2016 eine Zunahme der Gewalt gegen Frauen zu verzeichnen sei. Dies wird einerseits nachvollziehbarerweise darauf zurückgeführt, dass Entlassungen und Neuordnungen der Polizeikräfte nach dem Putschversuch die Sicherheit von Frauen beeinträchtige, die zurzeit staatlichen Schutz erhalten sollten (vgl. Schweizerische Flüchtlingshilfe [SFH], Türkei: Gefährdungsprofile / Update, 19. Mai 2017, S. 15 f.); andererseits wird etwa auch eine tiefgreifende Veränderungen der türkischen Gesellschaft und ein politischer Diskurs im Land thematisiert, der sich immer weiter von Demokratie, Rechtsstaatlichkeit und Laizismus entferne, was sich eben auch im Umgang der Menschen untereinander spiegle (vgl. Deutsche Welle, Gewalt gegen Frauen in der Türkei wächst, 25. November 2016 [http://www. dw.com/de/gewalt-gegen-frauen-in-der-t%C3%BCrkei-w%C3%A4chst/a-36518565, abgerufen am 25. Mai 2018]). In der Tat scheint sich in der türkischen Politik zunehmend ein konservativ-religiös geprägtes Frauenbild durchzusetzen (vgl. etwa NZZ, 7. Januar 2017, "Wir gehören nicht mehr hierher"; UK Home Office, Country Policy and Information Note, Turkey: Women fearing gender-based violence, 8. Mai 2018, https://assets.publishing.service.gov.uk/government/uploads/system/uploads/attachment_data/ file/706347/Turkey_-_Women_Fearing_GBV_-_CPIN_-_v2.0__May_201 8_pdf, abgerufen am 11. Juni 2018, S. 17).</w:t>
      </w:r>
    </w:p>
    <w:p>
      <w:r>
        <w:rPr>
          <w:b/>
        </w:rPr>
        <w:t>E. 5.2.5</w:t>
      </w:r>
    </w:p>
    <w:p>
      <w:r>
        <w:t>Solche Feststellungen vermögen die gefestigte Praxis des Gerichts zur Schutzfähigkeit und Schutzbereitschaft der türkischen Behörden vorderhand noch nicht grundlegend zu beeinflussen (zumal zumindest die durch Entlassungswellen hervorgehobene organisatorische Unruhe in den Strafverfolgungsbehörden vorübergehender Natur sein dürfte). Sollten jedoch bei dieser Thematik in Zukunft negative institutionelle Entwicklungen - namentlich in der türkischen Gesetzgebung - oder andere tiefgreifende Veränderungen der Gesellschaft zu verzeichnen sein, wäre insbesondere die Frage der Schutzbereitschaft neu zu evaluieren.</w:t>
      </w:r>
    </w:p>
    <w:p>
      <w:r>
        <w:rPr>
          <w:b/>
        </w:rPr>
        <w:t>E. 5.3</w:t>
      </w:r>
    </w:p>
    <w:p>
      <w:r>
        <w:t>Aus dem Gesagten ergibt sich, dass die Beschwerdeführerin allfälligen innerfamiliären Übergriffen - namentlich seitens des Vaters - nicht schutzlos ausgeliefert wäre. Es ist in Übereinstimmung mit der Vorinstanz vom behördlichen Schutzwillen und der grundsätzlichen behördlichen Schutzfähigkeit auszugehen. In diesem Zusammenhang kann einerseits darauf hingewiesen werden, dass sie trotz der angegebenen Angst vor Vergeltungsmassnahmen mehrmals besuchshalber in die Türkei zurückgereist ist. Andererseits hat die Beschwerdeführerin ihr Asylgesuch nicht nach der Einreise in die Schweiz im Jahr 2006 gestellt hat, sondern erst neun Jahre später (offensichtlich unter dem Eindruck des drohenden Vollzugs der ausländerrechtlichen Wegweisung); auch dieses Verhalten spricht nicht für die Begründetheit der behaupteten Gefährdung im Heimatland.</w:t>
      </w:r>
    </w:p>
    <w:p>
      <w:r>
        <w:rPr>
          <w:b/>
        </w:rPr>
        <w:t>E. 5.3.1</w:t>
      </w:r>
    </w:p>
    <w:p>
      <w:r>
        <w:t>Bei Bedarf wäre der aus Istanbul stammenden Beschwerdeführerin die Inanspruchnahme der staatlichen Schutzeinrichtungen und rechtlichen Anlaufstellen zuzumuten. Sie hat zwar gemäss ihren eigenen Angaben vor ihrer Ausreise im Jahr 2006 nie eine schutzbietende Institution kontaktiert. Ihr Einwand, eine Meldung bei der Polizei oder die Schutzsuche in einem Frauenhaus würde nicht wirklichen sicheren Zuflucht bringen, ist - jedenfalls mit Bezug auf die aktuelle Situation und die oben erwähnte Entwicklung seit ihrer Ausreise - nicht stichhaltig und ungeeignet, die Annahme behördlichen Schutzwillens und behördlicher Schutzfähigkeit zu widerlegen. Die Beschwerdeführerin wird sich bei Bedarf jedenfalls mit ihrem Anliegen Gehör verschaffen können, zumal ihre mehrjährige Arbeitstätigkeit (die sie gegen den Willen des Vaters ausgeübt habe) durchaus auf Selbständigkeit und Durchsetzungskraft hinweist.</w:t>
      </w:r>
    </w:p>
    <w:p>
      <w:r>
        <w:rPr>
          <w:b/>
        </w:rPr>
        <w:t>E. 5.4</w:t>
      </w:r>
    </w:p>
    <w:p>
      <w:r>
        <w:t>Zusammenfassend vermögen die Vorbringen der Beschwerdeführerin, namentlich auch in Beachtung der im Rechtsmittel angesprochenen frauenspezifischen Aspekte, nicht zur Bejahung der Flüchtlingseigenschaft zu führen.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Seit die kantonalen Migrationsbehörden nach der Scheidung der Be-schwerdeführerin von ihrem Schweizer Ehemann ihre Aufenthaltsbewilli-gung nicht verlängert hatten (was gemäss Akten durch das Urteil des kantonalen Verwaltungsgerichts vom 23. Oktiber 2014 rechtskräftig wur-de), verfügt sie weder über eine ausländerrechtliche 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soweit die medizinische Situation betreffend, kann auf die nachfolgenden Erwägungen zur Frage der Zumutbarkeit des Vollzugs verwiesen werden.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Seit Juli 2015 sind der türkisch-kurdische Konflikt und die bewaffneten Auseinandersetzungen zwischen der Kurdischen Arbeiterpartei (PKK) und staatlichen Sicherheitskräften im Südosten des Landes wieder aufgeflammt. Von den gewaltsamen Auseinandersetzungen betroffen waren in letzter Zeit neben den Provinzen Hakkâri und irnak - bei denen das Bundesverwaltungsgericht seit längerer Zeit von der generellen Unzumutbarkeit des Vollzugs von Wegweisungen ausgeht (vgl. BVGE 2013/2 E. 9.6) - weitere Provinzen im Südosten der Türkei. Auf der interaktiven Karte, welche die International Crisis Group auf ihrer Website zur Verfügung stellt (vgl. International Crisis Group, Turkey's PKK Conflict: The Rising Toll http://www.crisisgroup.be/interactives/turkey/ abgerufen am 11. Juni 2018) sind für die Zeit von 10. Juni 2017 bis 9. Juni 2018 die folgenden Provinzen mit mehr als zehn Opfern der gewaltsamen Zwischenfälle (unter Sicherheitskräften, Guerilla und Zivilbevölkerung) aufgelistet: Hakkâri (100 Todesopfer), irnak (85), Diyarbakir (71), Tunçeli (51), Siirt (42), Bingöl (27), Van (25), A ri (18), Mardin (17), Hatay (15) Bitlis (13). Allein in diesen elf Ostprovinzen waren gemäss dieser Quelle in den letzten zwölf Monaten somit 464 Todesopfer zu verzeichnen.</w:t>
      </w:r>
    </w:p>
    <w:p>
      <w:r>
        <w:rPr>
          <w:b/>
        </w:rPr>
        <w:t>E. 7.3.2</w:t>
      </w:r>
    </w:p>
    <w:p>
      <w:r>
        <w:t>Es ist aber nach wie vor nicht von einer landesweiten Situation allgemeiner Gewalt oder von bürgerkriegsähnlichen Verhältnissen auf dem gesamten Staatsgebiet auszugehen.</w:t>
      </w:r>
    </w:p>
    <w:p>
      <w:r>
        <w:rPr>
          <w:b/>
        </w:rPr>
        <w:t>E. 7.3.3</w:t>
      </w:r>
    </w:p>
    <w:p>
      <w:r>
        <w:t>Die Beschwerdeführerin hatte ihren letzten offiziellen Wohnsitz vor der Ausreise in Istanbul, mithin nicht in einer der soeben genannten Provinzen.</w:t>
      </w:r>
    </w:p>
    <w:p>
      <w:r>
        <w:rPr>
          <w:b/>
        </w:rPr>
        <w:t>E. 7.3.4</w:t>
      </w:r>
    </w:p>
    <w:p>
      <w:r>
        <w:t>Nach einem zwölfjährigen Aufenthalt in Westeuropa dürfte eine Rückkehr in die Türkei für sie zwar zweifellos eine Herausforderung darstellen. Den bei den Vorakten liegenden Entscheiden der kantonalen Migrationsbehörden erster und letzter Instanz kann jedoch entnommen werden, dass diese - nach der Nichtverlängerung der Aufenthaltsbewilligung infolge Vorliegens einer Scheinehe - eine Wegweisung in das Heimatland bereits als zulässig, zumutbar und verhältnismässig qualifiziert hatten (vgl. Verfügung des Migrationsamts des Kantons D._______ vom 15. November 2013 S. 5 f., Urteil des Verwaltungsgerichts des Kantons D._______ vom 23. Oktober 2014 E. 7).</w:t>
      </w:r>
    </w:p>
    <w:p>
      <w:r>
        <w:rPr>
          <w:b/>
        </w:rPr>
        <w:t>E. 7.3.5</w:t>
      </w:r>
    </w:p>
    <w:p>
      <w:r>
        <w:t>Auch den übrigen, dem Gericht vorliegenden Akten lassen sich keine Hinweise auf eine konkrete Gefährdung im Sinn von Art. 83 Abs. 4 AuG entnehmen:</w:t>
      </w:r>
    </w:p>
    <w:p>
      <w:r>
        <w:rPr>
          <w:b/>
        </w:rPr>
        <w:t>E. 7.3.5.1</w:t>
      </w:r>
    </w:p>
    <w:p>
      <w:r>
        <w:t>In sozialer und ökonomischer Hinsicht ist festzustellen, dass die Beschwerdeführerin gemäss ihren Angaben über mehrjährige Arbeitserfahrungen als Schneiderin und zuletzt während einiger Monate in einer (...)fabrik verfügt. Entgegen ihrer Darstellung ist nicht davon auszugehen, dass sie von der ganzen Familie verstossen worden ist. Sie hat einerseits stets den Kontakt zu ihrer jüngeren Schwester (nebst sporadischen Kontakten zur älteren Schwester und der Mutter) unterhalten, und in der Schweiz kann sie bis heute auf die Unterstützung ihrer beiden Brüder und eines Onkels zählen. Zu den Letzteren hat sie offensichtlich eine sehr gute und enge Beziehung, wohnt sie doch abwechslungsweise bei ihnen. Es ist folglich davon auszugehen, dass sie bei einer Rückkehr bei Bedarf namentlich auch in finanzieller Hinsicht insbesondere auf die Angehörigen in der Schweiz zählen kann.</w:t>
      </w:r>
    </w:p>
    <w:p>
      <w:r>
        <w:rPr>
          <w:b/>
        </w:rPr>
        <w:t>E. 7.3.5.2</w:t>
      </w:r>
    </w:p>
    <w:p>
      <w:r>
        <w:t>Hinsichtlich der gesundheitlichen Situation ist dem eingehenden fachärztlichen Bericht der Psychiatrischen Universitätsklinik (...) vom 6. März 2018 zu entnehmen, dass die Beschwerdeführerin an einer rezidivierenden depressiven Störung mit aktuell leichter Episode, einer Anpassungsstörung mit längerer depressiver Reaktion und unter Problemen mit Bezug auf (mit dem Asylverfahren zusammenhängende) andere psychosoziale Umstände leidet. Es wird eine Psychotherapie und die antidepressive Medikation empfohlen sowie namentlich festgehalten, die gesundheitliche Prognose könnte sicherlich günstig beeinflusst werden, wenn die Beschwerdeführerin eine Arbeitstätigkeit ausüben könnte. Auch wird eine Fortsetzung der psychiatrischen Behandlung in der Heimat als indiziert beurteilt. Hinsichtlich einer allfälligen akuten Selbst- oder Fremdgefährdung oder eines akut behandlungsbedürftigen Gesundheitsschadens wird festgehalten, dies müsste im Zusammenhang mit der Beurteilung einer eventuell dadurch eingeschränkten Transportfähigkeit erneut ärztlich begutachtet werden. Gemäss dem letztdatierten Bericht vom 4. April 2018 leidet die Beschwerdeführerin unter Konzentrations- und Gedächtnisstörungen. Sie könne sich nicht gut entspannen, leide unter Erregbarkeit und innerer Unruhe, Schreckhaftigkeit, Schlafstörungen, Angstzuständen und Stimmungsschwankungen. Für sie stelle der Erhalt der erstinstanzlichen negativen Verfügung und damit verbunden die Vorstellung, in die Türkei abgeschoben zu werden, eine Bedrohung der Existenz dar. Die Beschwerdeführerin könne sich ein Leben in der patriarchalisch geprägten Heimat nicht vorstellen und sie habe Angst, wegen der Eheschliessung mit einem fremden Mann in der Türkei mit der Todesstrafe bestraft zu werden. Aufgrund der objektiven Bedrohung seitens der Männer wolle sie nicht in das Land gehen, in dem sie sich sehr unsicher fühle. Die Ungewissheit des Asylverfahrens sei für sie wie ein Gerichtsprozess in der Türkei; der ungewisse Ausgang des Verfahrens bewirke bei ihr Pessimismus.</w:t>
      </w:r>
    </w:p>
    <w:p>
      <w:r>
        <w:rPr>
          <w:b/>
        </w:rPr>
        <w:t>E. 7.3.5.3</w:t>
      </w:r>
    </w:p>
    <w:p>
      <w:r>
        <w:t>Dazu ist zunächst festzustellen, dass die Behandlung psychischer Probleme, wie sie in den vorliegenden ärztlichen Berichten aufgeführt werden, in der Türkei sowohl stationär als auch ambulant möglich ist. Es existieren landesweit psychiatrische Einrichtungen und es stehen moderne Psychopharmaka zur Verfügung. Trotz den neusten politischen Entwicklungen ist namentlich in türkischen Gross- und Provinzhauptstädten der Zugang zu Gesundheitsdiensten, Beratungsstellen und Behandlungseinrichtungen für psychische Leiden gewährleistet (vgl. hierzu etwa Urteile BVGer D-3305/2015 vom 4. Januar 2016 und E-3040/2017 vom 28. Juli 2017). Es ist mithin davon auszugehen, dass die Beschwerdeführerin, sollte sie weitergehende psychiatrische Hilfe in Anspruch nehmen müssen, auch in der Türkei eine adäquate Behandlung erhalten wird. Soweit namentlich im Bericht vom 4. April 2018 in der Prognosestellung die generelle Situation der Frauen in der Türkei angesprochen und die Meinung vertreten wird, staatliche Schutzmassnahmen seien wirkungslos, teilt das Gericht diese pauschale Auffassung, wie oben erwähnt, nicht.</w:t>
      </w:r>
    </w:p>
    <w:p>
      <w:r>
        <w:rPr>
          <w:b/>
        </w:rPr>
        <w:t>E. 7.3.5.4</w:t>
      </w:r>
    </w:p>
    <w:p>
      <w:r>
        <w:t>Dass der behandelnde Therapeut in diesem Zusammenhang die gesundheitliche Sicherheit der Beschwerdeführerin in Frage stellt, vermag namentlich vor dem Hintergrund der genannten Behandlungsmöglichkeiten für psychische Erkrankungen letztlich nicht zur Unzumutbarkeit des Vollzugs zu führen. Soweit hier die Reisefähigkeit verneint wird, wird diese Frage letzten Endes im Zeitpunkt der tatsächlichen Ausreise durch die mit dem Vollzug der Wegweisung betrauten Behörde mit den entsprechenden ärztlichen Fachstellen - wie dies auch im Bericht vom 6. März 2018 empfohlen wird - zu beurteilen sein (vgl. in diesem Zusammenhang auch die Bestimmung von Art. 46 Abs. 2 AsylG). Hinweise auf eine langfristige Reiseunfähigkeit (vgl. hierzu bereits Entscheidungen und Mitteilungen der Schweizerischen Asylrekurskommission [EMARK] 1995 Nr. 14 E. 8d f.) sind den Akten nicht zu entnehmen.</w:t>
      </w:r>
    </w:p>
    <w:p>
      <w:r>
        <w:rPr>
          <w:b/>
        </w:rPr>
        <w:t>E. 7.3.5.5</w:t>
      </w:r>
    </w:p>
    <w:p>
      <w:r>
        <w:t>Abschliessend kann die Beschwerdeführerin auf die Möglichkeit hingewiesen werden, dem SEM bei Bedarf einen Antrag auf Gewährung medizinischer Rückkehrhilfe zu stellen (vgl. Art. 93 Abs. 1 Bst. d AsylG und Art. 75 der Asylverordnung 2 vom 11. August 1999 [AsylV 2, SR 142.312]).</w:t>
      </w:r>
    </w:p>
    <w:p>
      <w:r>
        <w:rPr>
          <w:b/>
        </w:rPr>
        <w:t>E. 7.3.6</w:t>
      </w:r>
    </w:p>
    <w:p>
      <w:r>
        <w:t>Insgesamt erweist sich der Vollzug der Wegweisung als zumutbar.</w:t>
      </w:r>
    </w:p>
    <w:p>
      <w:r>
        <w:rPr>
          <w:b/>
        </w:rPr>
        <w:t>E. 7.4</w:t>
      </w:r>
    </w:p>
    <w:p>
      <w:r>
        <w:t>Der Vollzug der Wegweisung ist schliesslich bei der heutigen Aktenlage nach dem soeben Gesagten auch als möglich zu bezeichnen (Art. 83 Abs. 2 AuG), zumal die Beschwerdeführerin im Besitz eines bis zum 16. Oktober 2024 gültigen Reisepasses ist.</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Mit Zwischenverfügung vom 27. April 2018 hiess der Instruktionsrichter das Gesuch um Gewährung der unentgeltlichen Prozessführung gestützt auf Art. 65 Abs. 1 VwVG zufolge Mittellosigkeit der Beschwerdeführerin gut, weshalb für das vorliegende Beschwerdeverfahren von der Erhebung der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