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E-1945/2023 vom 28. Februar 2023</w:t>
      </w:r>
    </w:p>
    <w:p>
      <w:r>
        <w:t>Bundesverwaltungsgericht, 2023-02-28, DE</w:t>
      </w:r>
    </w:p>
    <w:p>
      <w:r>
        <w:rPr>
          <w:b/>
        </w:rPr>
        <w:t xml:space="preserve">Quelle: </w:t>
      </w:r>
      <w:r>
        <w:t>https://mcp.opencaselaw.ch/entscheid/bvger_E-1945_2023_d20230228</w:t>
      </w:r>
    </w:p>
    <w:p>
      <w:r>
        <w:t>FR: TAF E-1945/2023 du 28 février 2023</w:t>
      </w:r>
    </w:p>
    <w:p>
      <w:r>
        <w:t>IT: TAF E-1945/2023 del 28 febbraio 2023</w:t>
      </w:r>
    </w:p>
    <w:p>
      <w:pPr>
        <w:pStyle w:val="Heading2"/>
      </w:pPr>
      <w:r>
        <w:t>Regeste</w:t>
      </w:r>
    </w:p>
    <w:p>
      <w:r>
        <w:t>Asyl (ohne Wegweisungsvollzug) | Asyl (ohne Wegweisung); Verfügung des SEM vom 28.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w:t>
      </w:r>
    </w:p>
    <w:p>
      <w:r>
        <w:t>E-1945/2023 Seite 6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Beschwerdeführer rügt, das SEM habe ihm zu Unrecht vorgeworfen, er habe sich nicht um Polizeischutz bemüht, und erblickt darin eine Verlet- zung des Untersuchungsgrundsatzes beziehungsweise eine unrichtige Sachverhaltsfeststellung. Seine Kritik richtet sich aber im Grunde gegen die vorinstanzliche materielle Beurteilung des Sachverhalts, welche nach- folgend zu prüfen sein wird. Eine kassationsauslösende Verletzung des Untersuchungsgrundsatzes ist jedenfalls nicht ersichtlich und der Sachver- halt ist als richtig und vollständig erstellt zu erachten. Mithin besteht keine Veranlassung, die Sache zur weiteren Sachverhaltsfeststellung und Neu- beurteilung an die Vorinstanz zurückzuweisen. Das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Aufgrund der Subsidiarität des flüchtlingsrechtlichen Schutzes setzt die Anerkennung der Flüchtlingseigenschaft ausserdem voraus, dass die be- troffene Person in ihrem Heimatstaat keinen adäquaten Schutz finden kann, weil dort keine Infrastruktur besteht, die ihr Schutz bieten könnte (sog. Schutztheorie, vgl. BVGE 2011/51 E. 7, m.w.H.), oder weil der Staat ihr keinen Schutz gewährt, obwohl er dazu in der Lage wäre (vgl. BVGE 2011/51 E. 7.1 und E. 7.4 m.w.H.). Zudem besteht ein Schutzbedürfnis auch dann, wenn die bestehende Schutzinfrastruktur der von Verfolgung betroffenen Person nicht zugänglich ist oder ihr deren Inanspruchnahme aus individuellen Gründen nicht zuzumuten ist. Über das Bestehen eines</w:t>
      </w:r>
    </w:p>
    <w:p>
      <w:r>
        <w:t>E-1945/2023 Seite 7 Schutzbedürfnisses ist im Rahmen einer individuellen Einzelfallprüfung un- ter Berücksichtigung des länderspezifischen Kontextes zu befinden, wobei es den Asylbehörden obliegt, die Effektivität des Schutzes vor Verfolgung im Heimatstaat abzuklären und zu begründen (vgl. BVGE 2011/51 E. 7.4 m.w.H.). Schutz vor nichtstaatlicher Verfolgung im Heimatstaat ist als aus- 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Urteile des BVGer D-1023/2022 und D-1026/2022 vom 5. April 2022 E. 5.1).</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des ablehnenden Asylentscheides führte die Vor- instanz aus, Übergriffe durch Dritte oder Befürchtungen, künftig solchen ausgesetzt zu sein, seien nur dann asylrelevant, wenn der Staat seiner Schutzpflicht nicht nachkomme oder nicht in der Lage sei, Schutz zu ge- währen. Bei der vom Beschwerdeführer befürchteten Verfolgung handle es sich um eine Mutmassung, die er mit keinen stichhaltigen Aussagen oder Beweismitteln untermauert habe. Sollte er tatsächlich durch den Mörder seines Kunden verfolgt werden, könne er die chilenischen Behörden um Schutz ersuchen, was er offenbar unterlassen habe. Vor diesem Hinter- grund könne er dem Polizei- und Justizapparat Chiles nicht vorwerfen, seine Pflicht nicht erfüllt zu haben. Weiter gehe das SEM davon aus, dass der chilenische Staat ihm gegenüber geeignete Massnahmen treffen würde, um die befürchtete Verfolgung zu verhindern. Somit sei seine Furcht vor allfälligen künftigen Behelligungen seitens des mutmasslichen Täters flüchtlingsrechtlich irrelevant. Die abgegebenen Dokumente würden nicht belegen, dass der chilenische Staat schutzunwillig und/oder schutzunfähig wäre.</w:t>
      </w:r>
    </w:p>
    <w:p>
      <w:r>
        <w:t>E-1945/2023 Seite 8</w:t>
      </w:r>
    </w:p>
    <w:p>
      <w:r>
        <w:rPr>
          <w:b/>
        </w:rPr>
        <w:t>E. 6.2</w:t>
      </w:r>
    </w:p>
    <w:p>
      <w:r>
        <w:t>Der Beschwerdeführer entgegnet in seiner Beschwerdeschrift, er sei als Zeuge eines Mordes, welcher offensichtlich mit der in G._______ – ei- nem berüchtigten Stadtteil von Santiago de Chile – allgegenwärtigen Ban- denkriminalität zu tun habe, einer individuellen und intensiven Verfolgung durch die kriminelle Organisation des mutmasslichen Täters bedroht. Als Teil der sozialen Gruppe von Zeugen der Bandenkriminalität sei er an Leib und Leben gefährdet. Es handle sich dabei nicht – wie von der Vorinstanz behauptet – lediglich um Mutmassungen, sondern um eine berechtigte Furcht vor Vergeltungsmassnahmen und Zeugenelimination. Dies könne von seinem Freund und Rechtsanwalt F._______ bestätigt werden, der die Ereignisse im (…) 2016 hautnah miterlebt habe und die Begründetheit der Furcht bestätige. Dieser habe ihn kurz nach dem Attentat im Spital besucht und ihm bereits damals vom mangelnden Schutz durch die Polizei sowie den Warnschüssen vor seiner Wohnung erzählt. Ebenso könne sein Freund bestätigen, dass der Vorfall in Teilen der Stadt bekannt geworden sei und er als landesweit bekannter (…) mit diesem Ereignis in Verbindung gebracht werde. Ausserdem habe sein Freund bei einem Friseurbesuch im Jahr 2020 selbst gehört, dass gewisse Leute ihn (den Beschwerdeführer) tot sehen wollten. Als Rechtsanwalt könne er aus persönlicher Erfahrung bestätigen, dass die Polizei aufgrund der steigenden Kriminalitätsrate und dem zu kleinen Personalbestand mit der Gewährung von Schutzmassnah- men für (potenzielle) Opfer von Straftaten überfordert sei. Dies bestätigten auch offizielle Statistiken. Die Polizei- und Justizorgane Chiles seien zwar in der Lage, ein gewisses Mass an Grundsicherheit zu schaffen, bei kon- kreten Gefährdungen von Einzelpersonen könnten sie jedoch keine adä- quaten Sicherheitsmassnahmen treffen. Mithin habe er begründete Furcht vor Verfolgung und könne in seinem Heimatland keinen ausreichenden Schutz erwarten. Entsprechend seien seine Tochter mit ihrer Mutter und auch der Freund des Getöteten bereits in eine andere Stadt geflohen. Ihm – als landesweit bekannten (…) – sei es nicht zuzumuten und auch nicht möglich, sich unter falschem Namen in einen anderen Landesteil zu bege- ben und sich dort im Versteckten zu halten. Zwar sei gegen ihn eine Lan- desverweisung verhängt worden, diese könne aufgrund der ihm zukom- menden Flüchtlingseigenschaft jedoch nicht vollzogen werden, da dies Art. 5 Abs. 1 AsylG verletzen würde. Einerseits sei folglich die Rückschaf- fung nicht möglich, andererseits komme jedoch aufgrund von Art. 83 Abs. 9 AIG auch die vorläufige Aufnahme nicht in Frage. Im Sinne einer teleologi- schen Reduktion müsse letzterer Bestimmung daher die Anwendung ver- sagt werden. Müsste er nach Chile zurückkehren, würde dies ausserdem eine Verletzung von Art. 33 Abs. 1 FK, Art. 8 Ziff. 1 EMRK, Art. 13 Abs. 1 BV und Art. 83 Abs. 1 i.V.m. Abs. 3 AIG bedeuten.</w:t>
      </w:r>
    </w:p>
    <w:p>
      <w:r>
        <w:t>E-1945/2023 Seite 9</w:t>
      </w:r>
    </w:p>
    <w:p>
      <w:r>
        <w:rPr>
          <w:b/>
        </w:rPr>
        <w:t>E. 7.1</w:t>
      </w:r>
    </w:p>
    <w:p>
      <w:r>
        <w:t>Hinsichtlich der vom Beschwerdeführer geltend gemachten Bedrohun- gen seitens des mutmasslichen Täters beziehungsweise einer Drogen- bande ist festzustellen, dass diese Vorbringen – ungeachtet der Frage ihrer Glaubhaftigkeit – nicht zur Bejahung der Flüchtlingseigenschaft zu führen vermögen, denn, wie die Vorinstanz zutreffend dargelegt hat, handelt es sich bei den vorgebrachten Drohungen um Übergriffe durch Dritte. Ohne die in der Rechtsmittelschrift dargelegte Sicherheitslage Chiles in Abrede stellen zu wollen, geht das Bundesverwaltungsgericht in Übereinstimmung mit dem SEM von der grundsätzlichen Schutzfähigkeit und -willigkeit der chilenischen Strafverfolgungs- und Justizbehörden aus. Damit ist anzuneh- men, dass der Beschwerdeführer allfälligen Übergriffen durch nichtstaatli- che Akteure nicht schutzlos ausgeliefert und ihm bei Bedarf die Inan- spruchnahme von staatlichen Schutzmassnahmen zuzumuten wäre. Soweit der Beschwerdeführer die Schutzfähigkeit und -willigkeit seines Heimatlandes in Frage stellt, vermögen seine Ausführungen nicht zu über- zeugen. Er gab zu Protokoll, dass er nur unter der Voraussetzung, dass ihm Schutz gewährt worden wäre, den mutmasslichen Täter identifiziert hätte (vgl. A24 F82). Da es aber nie zu einer Identifikation gekommen ist, kann der Polizei auch nicht vorgeworfen werden, ihn nicht weiter kontaktiert und aktiv «beschützt» zu haben. Als er nach der Schussabgabe vor seiner Wohnung tatsächlich der Ansicht war, Schutz zu benötigen, hat er sich nicht an die Polizei gewandt, obwohl er selbst einräumt, die Polizei hätte eine Drohung durch die Drogenbande möglicherweise verhindern können (vgl. A24 F86, F91). Ausserdem ist er ungefähr 20 Tage nach der Tat un- tergetaucht (vgl. A24 F72 i.V.m. F81, F85 f.). Angesichts der Dauer solcher Strafverfahren wäre es durchaus denkbar gewesen, dass die Polizei oder Staatsanwaltschaft zu einem späteren Zeitpunkt auf ihn zugekommen wäre und ihm nach einer detaillierteren Aussage auch den nötigen Schutz gewährt hätte. Zumindest kann nicht vom Gegenteil beziehungsweise von deren Unvermögen, ihm überhaupt Schutz zu gewähren, ausgegangen werden. Es ist folglich der Auffassung der Vorinstanz zu folgen, wonach der Beschwerdeführer die chilenischen Behörden – welche wie dargelegt (E. 7.1) schutzfähig und -willig sind – nicht konkret um Schutz ersucht hat.</w:t>
      </w:r>
    </w:p>
    <w:p>
      <w:r>
        <w:rPr>
          <w:b/>
        </w:rPr>
        <w:t>E. 7.2</w:t>
      </w:r>
    </w:p>
    <w:p>
      <w:r>
        <w:t>Dessen ungeachtet ist gar kein flüchtlingsrechtlich relevantes Verfol- gungsmotiv ersichtlich. Soweit der Beschwerdeführer seine Verfolgungs- furcht mit der Zugehörigkeit zur sozialen Gruppe der Zeugen von Banden- kriminalität begründet, ist Folgendes festzuhalten:</w:t>
      </w:r>
    </w:p>
    <w:p>
      <w:r>
        <w:t>E-1945/2023 Seite 10 Eine Verfolgung ist flüchtlingsrechtlich relevant, wenn sie aus einem der in Art. 3 Abs. 1 AsylG beziehungsweise Art. 1A Ziff. 2 des Abkommens vom 28. Juli 1951 über die Rechtsstellung der Flüchtlinge (FK, SR 0.142.30) genannten Motive erfolgt. Die in Art. 3 Abs. 1 AsylG erwähnten fünf Verfol- gungsmotive (Rasse, Religion, Nationalität, Zugehörigkeit zu einer be- stimmten sozialen Gruppe oder wegen ihrer politischen Anschauungen) sind über die sprachlich allenfalls engere Bedeutung ihrer Begrifflichkeit hinaus so zu verstehen, dass die Verfolgung wegen äusserer oder innerer Merkmale, die untrennbar mit der Person oder Persönlichkeit des Opfers verbunden sind, erfolgt ist beziehungsweise droht. Verfolgung im Sinne des Asylgesetzes und der Flüchtlingskonvention erfolgt immer wegen des Seins, nicht wegen des Tuns. Zwar kann der Verfolger gleichfalls oder so- gar vordergründig hauptsächlich auf Handlungsweisen einer Person abzie- len, bedeutsam für die Flüchtlingseigenschaft wird der Eingriff des Verfol- gers (oder der mangelnde Schutz vor privater Verfolgung bei Schutzunwil- ligkeit des Staates) aber nur, wenn dieser die hinter einer Handlungsweise steckende Eigenart und Gesinnung der entsprechenden Person treffen will (vgl. BVGE 2013/11, E. 5.1 und BVGE 2014/28 E. 8.4). Der Beschwerdeführer erlitt eigenen Angaben und den vorliegenden Be- weismitteln zufolge schwere Nachteile durch einen Angriff auf einen seiner Kunden, dessen Freund und – da die Tat in seinem (…)-Studio stattfand – auch auf ihn. Der mutmassliche Täter war nach den Aussagen des Be- schwerdeführers offenbar Mitglied einer Drogenbande. Der Beschwerde- führer befürchtet durch diese Bande verfolgt zu werden, da er den Täter identifizieren könnte. Der Beschwerdeführer fühlt sich weder aufgrund sei- ner Rasse noch aufgrund seiner Religion, seiner Nationalität oder seiner politischen Anschauungen ernsthaften Nachteilen ausgesetzt oder mit sol- chen bedroht, sondern einzig deshalb, weil er zufälligerweise Zeuge einer Straftat geworden ist. Die Eigenschaft als Zeuge oder Zeugin einer Straftat ist weder angeboren noch unveränderlich oder historisch mit der Persönlichkeit des Opfers ver- bunden. Es handelt sich folglich bei den befürchteten ernsthaften Nachtei- len um ein ausschliesslich gemeinrechtlich motiviertes Verbrechen ohne asylrelevantes Motiv. Die Auffassung in der Beschwerde, dass der Be- schwerdeführer der sozialen Gruppe der Zeugen von Bandenkriminalität angehöre und deshalb an Leib und Leben gefährdet sei, vermag folglich – unbesehen der Tatsache, dass die Zugehörigkeit des Täters zu einer Dro- genbande gar nicht zweifelsfrei feststeht (vgl. A24 F81, F101) – nicht zu überzeugen.</w:t>
      </w:r>
    </w:p>
    <w:p>
      <w:r>
        <w:t>E-1945/2023 Seite 11</w:t>
      </w:r>
    </w:p>
    <w:p>
      <w:r>
        <w:rPr>
          <w:b/>
        </w:rPr>
        <w:t>E. 7.3</w:t>
      </w:r>
    </w:p>
    <w:p>
      <w:r>
        <w:t>Die eingereichten Beweismittel sind nicht geeignet, diese Einschätzung in Frage zu stellen.</w:t>
      </w:r>
    </w:p>
    <w:p>
      <w:r>
        <w:rPr>
          <w:b/>
        </w:rPr>
        <w:t>E. 7.4</w:t>
      </w:r>
    </w:p>
    <w:p>
      <w:r>
        <w:t>Die Vorinstanz hat somit die Flüchtlingseigenschaft des Beschwerde- führers zu Recht verneint und das Asylgesuch abgelehnt, so dass die Be- schwerde im Asylpunkt abzuweisen ist. Einer möglichen Gefährdung im Heimatland wäre im Rahmen von Wegweisungsvollzugshindernissen, ins- besondere mit Blick auf Art. 3 EMRK, Rechnung zu tragen (vgl. BVGE 2016/27, insb. E. 5.3; Urteil des BVGer E-6484/2020 vom 7. November 2022 E. 5.3 m.w.H.). Für diese Prüfung ist das Bundesverwaltungsgericht jedoch im vorliegenden Fall nicht zuständig (vgl. nachfolgende E. 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32 Abs. 1 der Asylverordnung 1 über Verfahrensfragen (AsylV 1, SR 142.311) wird die Wegweisung aus der Schweiz (unter ande- rem) nicht verfügt, wenn die asylsuchende Person von einer rechtskräfti- gen Landesverweisung nach Art. 66a oder 66abis StGB betroffen ist (vgl. zum Ganzen: Botschaft zur Änderung des Strafgesetzbuchs und des Mili- tärstrafgesetzes [Umsetzung von Art. 121 Abs. 3–6 BV über die Ausschaf- fung krimineller Ausländerinnen und Ausländer] vom 26. Juni 2013, BBl 2013 6006 ff.). Im Fall einer rechtskräftigen Landesverweisung wird auch die vorläufige Aufnahme nicht verfügt (Art. 83 Abs. 9 AIG). Vielmehr obliegt es bei solchen Konstellationen der kantonalen Vollzugsbehörde, das Vorliegen von Vollzugshindernissen zu prüfen (vgl. etwa das Urteil BVGer E-695/2020 vom 27. März 2020 E. 1.2.3).</w:t>
      </w:r>
    </w:p>
    <w:p>
      <w:r>
        <w:rPr>
          <w:b/>
        </w:rPr>
        <w:t>E. 8.3</w:t>
      </w:r>
    </w:p>
    <w:p>
      <w:r>
        <w:t>Die mit Urteil vom (…) 2022 durch das Bezirksgericht B._______ an- geordnete achtjährige Landesverweisung ist unangefochten in Rechtskraft erwachsen. Unter diesen Umständen hat das SEM in der angefochtenen Verfügung zu Recht darauf verzichtet, die Wegweisung anzuordnen (Art. 32 Abs. 1 Bst. d AsylV 1) sowie eine vorläufige Aufnahme zu verfügen (Art. 83 Abs. 9 AIG). Es fällt nicht in seine Zuständigkeit, die vom Beschwer- deführer geltend gemachten drohenden Verletzungen von Art. 8 EMRK, Art. 13 Abs. 1 BV und Art. 83 Abs. 1 i.V.m. Abs. 3 AIG zu prüfen. Diese Aspekte hat einerseits das Gericht, welches die Landesverweisung anord- net, im Rahmen der Verhältnismässigkeitsprüfung zu berücksichtigen (vgl.</w:t>
      </w:r>
    </w:p>
    <w:p>
      <w:r>
        <w:t>E-1945/2023 Seite 12 Urteil des BGer 6B_423/2019 vom 17. März 2020 E. 2.2.2). Andererseits ist es Aufgabe der zuständigen kantonalen Behörden, dem im Rahmen des Vollzugs der Landesverweisung – welcher allenfalls erst längere Zeit nach deren Anordnung erfolgt (vgl. Art. 66c StGB) – Rechnung zu tragen. Der Vollzugsbehörde obliegt bei der Prüfung des Vorliegens von Vollzugshin- dernissen insbesondere die Beachtung des Non-Refoulement-Gebots (Art. 66d Abs. 1 StGB; vgl. Urteile des BVGer E-1127/2023 vom 9. März 2023 E. 7.2; E-1567/2022 vom 10. August 2022 E. 6.4; vgl. auch FANNY DE WECK, in: SPESCHA/ZÜND/BOLZLI/HRUSCHKA/DE WECK, Kommentar Migra- tionsrecht, 5. Auflage, Zürich 2019, N 7 f. zu Art. 66d StGB, m.w.H.). Sie wird bei der Prüfung durch das SEM unterstützt, indem das Staatssekreta- riat nebst dem Führen von Ausreisegesprächen, Hilfe bei der Papierbe- schaffung insbesondere auch einen permanenten Informationsaustausch über Fragen des Vollzugs pflegt (vgl. Art. 71 AIG i.V.m. Art. 1 und 7 Abs. 2 der Verordnung über den Vollzug der Weg- und Ausweisung sowie der Lan- desverweisung von ausländischen Personen [VVWAL; SR 142.281]; vgl. auch Urteile des BVGer E-5269/2020 Vom 29. Oktober 2020 E. 4.4; Urteil des BVGer E-695/2020 vom 27. März 2020 E. 2.3). Sie kann beim SEM überdies eine Stellungnahme zu allfälligen Vollzugshindernissen einholen (vgl. Art. 32 Abs. 2 AsylV 1). Der Verwaltungsakt, mit welchem die kanto- nale Vollzugsbehörde diese Anordnung später vollzieht, regelt die Voll- zugsmodalitäten und weist die Merkmale einer anfechtbaren Vollstre- ckungsverfügung auf (vgl. BBl 2013 5975, 6010 f., Urteil des BVGer E- 4970/2021 vom 16. Februar 2022 E. 6.3; E-695/2020 vom 27. März 2020 E. 1.2.3). Eine in diesem Zusammenhang ergangene Vollstreckungsverfü- gung wäre in der Folge – nach Ausschöpfung des kantonalen Instanzen- zugs – beim Bundesgericht und nicht etwa beim Bundesverwaltungsgericht anzufechten (vgl. Urteile des BVGer D-2156/2022 vom 10. Juni 2022 E. 4.2; BVGer E-5269/2020 Vom 29. Oktober 2020 E. 4.4; vgl. auch Fanny De Weck, a.a.O., N 8 zu Art. 66d StGB, m.w.H.).</w:t>
      </w:r>
    </w:p>
    <w:p>
      <w:r>
        <w:rPr>
          <w:b/>
        </w:rPr>
        <w:t>E. 8.4</w:t>
      </w:r>
    </w:p>
    <w:p>
      <w:r>
        <w:t>Das SEM hat demnach zu Recht von der Anordnung der Wegweisung des Beschwerdeführers abgesehen. Infolge Unzuständigkeit und mangels eines Anfechtungsobjekts entfällt auch die Prüfung von Wegweisungs-voll- zugshindernissen. Auf das entsprechende Rechtsbegehren ist nicht einzu- treten.</w:t>
      </w:r>
    </w:p>
    <w:p>
      <w:r>
        <w:rPr>
          <w:b/>
        </w:rPr>
        <w:t>E. 9</w:t>
      </w:r>
    </w:p>
    <w:p>
      <w:r>
        <w:t>Aus diesen Erwägungen ergibt sich, dass die angefochtene Verfügung Bundesrecht nicht verletzt und den rechtserheblichen Sachverhalt richtig</w:t>
      </w:r>
    </w:p>
    <w:p>
      <w:r>
        <w:t>E-1945/2023 Seite 13 sowie vollständig feststellt (Art. 106 Abs. 1 AsylG). Die Beschwerde ist ab- zuweisen, soweit darauf einzutreten ist.</w:t>
      </w:r>
    </w:p>
    <w:p>
      <w:r>
        <w:rPr>
          <w:b/>
        </w:rPr>
        <w:t>E. 10.1</w:t>
      </w:r>
    </w:p>
    <w:p>
      <w:r>
        <w:t>Der Antrag auf Verzicht auf die Erhebung eines Kostenvorschusses wird mit dem vorliegenden Urteil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rechtlichen Verbeiständung sind unbesehen der finan- ziellen Verhältnisse des Beschwerdeführers abzuweisen, da die Be- schwerde gemäss den vorstehenden Erwägungen als aussichtslos zu be- zeichnen ist und es daher an einer gesetzlichen Grundlage zu deren Ge- währung fehlt.</w:t>
      </w:r>
    </w:p>
    <w:p>
      <w:r>
        <w:t>(Dispositiv nächste Seite)</w:t>
      </w:r>
    </w:p>
    <w:p>
      <w:r>
        <w:t>E-1945/2023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