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E-1941/2020 vom 9. Juli 2020</w:t>
      </w:r>
    </w:p>
    <w:p>
      <w:r>
        <w:t>Bundesverwaltungsgericht, 2020-07-09, DE</w:t>
      </w:r>
    </w:p>
    <w:p>
      <w:r>
        <w:rPr>
          <w:b/>
        </w:rPr>
        <w:t xml:space="preserve">Quelle: </w:t>
      </w:r>
      <w:r>
        <w:t>https://mcp.opencaselaw.ch/entscheid/bvger_E-1941_2020</w:t>
      </w:r>
    </w:p>
    <w:p>
      <w:r>
        <w:t>FR: TAF E-1941/2020 du 9 juillet 2020</w:t>
      </w:r>
    </w:p>
    <w:p>
      <w:r>
        <w:t>IT: TAF E-1941/2020 del 9 luglio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 Flüchtlingseigenschaft ist glaubhaft gemacht, wenn die Behörde ihr Vorhandensein mit überwiegender Wahrscheinlichkeit für gegeben hält (Art. 7 Abs. 1 und 2 AsylG). Glaubhaftmachung bedeutet im Gegensatz zum strikten Beweis ein reduziertes Beweismass und lässt durchaus Raum für gewisse Einwände und Zweifel an den Aussagen. Eine Behauptung gilt bereits als glaubhaft gemacht, wenn das Gericht von ihrer Wahrheit nicht völlig überzeugt ist, sie aber überwiegend für wahr hält, obwohl nicht alle Zweifel beseitigt sind. Demgegenüber reicht es für die Glaubhaftmachung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(BVGE 2015/3 E. 6.5.1). Unglaubhaft sind insbesondere Vorbringen, die in wesentlichen Punkten zu wenig begründet oder in sich widersprüchlich sind, den Tatsachen nicht entsprechen oder massgeblich auf gefälschte oder verfälschte Beweismittel abgestützt werden (Art. 7 Abs. 3 AsylG). Die Glaubhaftigkeit von Aussagen asylsuchender Personen kann im Rahmen eines inhaltsorientierten Ansatzes aufgrund sogenannter Realkennzeichen beurteilt werden. Die Realkennzeichen ermöglichen eine Differenzierung zwischen erlebnisbasierten und erfundenen respektive verfälschten Aussagen. Je mehr Realkennzeichen eine Aussage enthält, desto grösser ist die Wahrscheinlichkeit, dass die Aussage auf eigenem Erleben beruht. Dabei sind immer die Fähigkeiten der aussagenden Person und die Komplexität des vorgebrachten Geschehens zu berücksichtigen. Zu den Realkennzeichen gehören insbesondere die logische Konsistenz, die ungeordnete, aber inhaltlich letztlich stimmige Darstellung, der quantitative Detailreichtum, raum-zeitliche Verknüpfungen, die Wiedergabe von Gesprächen, ausgefallene Einzelheiten, spontane Verbesserungen der eigenen Aussagen, das Eingeständnis von Erinnerungslücken sowie die Schilderung von Interaktionen, Komplikationen, Nebensächlichkeiten, unverstandenen Handlungselementen und eigenen psychischen Vorgängen (vgl. Angelika Birck, Traumatisierte Flüchtlinge, Wie glaubhaft sind ihre Aussagen?, Heidelberg 2002, S. 82 ff. und S. 139 ff.; Revital Ludewig/Daphna Tavor/Sonja Baumer, Wie können aussagepsychologische Erkenntnisse Richtern, Staatsanwälten und Anwälten helfen?, in: AJP 11/2011, S. 1423 ff.; vgl. auch BGE 129 I 49 E. 5 sowie BVGE 2015/3 E. 6.5.1; 2013/11 E. 5.1 und 2012/5 E. 2.2, jeweils m.w.H.).</w:t>
      </w:r>
    </w:p>
    <w:p>
      <w:r>
        <w:rPr>
          <w:b/>
        </w:rPr>
        <w:t>E. 4.1</w:t>
      </w:r>
    </w:p>
    <w:p>
      <w:r>
        <w:t>Das SEM führt zur Begründung seiner Verfügung aus, die gesuchsbegründenden Vorbringen des Beschwerdeführers seien nicht glaubhaft. Bei der BzP habe er angegeben, nach der Reparatur des Reifens mit dem Taxi zu seinem Fahrzeug zurückgekehrt zu sein. Als er gesehen habe, dass sein Begleiter in Handschellen gewesen sei, habe er das Taxi wenden lassen und sei davongefahren (A3/10 S. 7). Bei der ersten und zweiten Anhörung habe er jedoch ausgeführt, am Ort des Geschehens vorbeigefahren zu sein (A17/4 F23 und A25/5 F27). Auch zur beobachteten Situation vom Taxi aus habe er abweichende Angaben gemacht. Bei der ersten Anhörung habe er ausgesagt, zwei Polizeibeamte gesehen zu haben (A 17/4 F23). Bei der zweiten Anhörung hingegen habe er sehr viele Polizisten bei seinem Fahrzeug erwähnt (A25/5 F27) und im weiteren Verlauf der Anhörung zu Protokoll gegeben, es seien nur ungefähr fünf oder weniger Polizisten gewesen (A25/7 F35). Des Weiteren habe er widersprüchliche Angaben zum Zielort seiner Fahrt gemacht. Bei der ersten Anhörung habe er als Zielort für den Transport C._______ angegeben, wobei sich die Panne bei D._______ ereignet habe (A17/4 F23). Bei der zweiten Anhörung habe er explizit D._______ als Zielort seiner Fahrt genannt, weil sich das Geschäft des Bruders seines Auftraggebers dort befunden habe (A25/5 F27). Aufgrund dieser Widersprüche bestünden bereits Zweifel am Wahrheitsgehalt seiner Aussagen. Die Zweifel würden durch mehrere teils markante Ungereimtheiten in Bezug auf die behördliche Suche nach dem Beschwerdeführer und seine Flucht bestätigt. So habe er unterschiedliche Angaben dazu gemacht, wann und wie oft er von den Behörden gesucht worden sei. Bei der ersten Anhörung habe er davon gesprochen, die Polizeibeamten hätten ihn noch am selben Tag, als sein Fahrzeug abgeschleppt worden sei, und am frühen Morgen des Folgetages gesucht respektive das Haus seiner Eltern durchsucht. Während diesen ersten beiden Hausdurchsuchungen habe er sich noch im Iran aufgehalten. Nach seiner Ausreise respektive Ankunft in der Schweiz hätten die Behörden noch ein weiteres Mal das Haus seiner Eltern durchsucht. Zudem seien mutmasslich Beamte an der Abdankungsfeier seines Vaters aufgetaucht (A17/4 F17 ff., A17/6 F33 ff., A17/11 F71). Abweichend von diesen Angaben habe er bei der ergänzenden Anhörung ausgesagt, es habe vor seiner Ausreise lediglich eine einzige Hausdurchsuchung stattgefunden. Die Behörden hätten erst nach seiner Ankunft in der Schweiz das Haus seiner Eltern frühmorgens nochmals durchsucht (A25/3 F15, A25/9 F56 f.). Dies stehe wiederum seiner Aussage entgegen, seine Cousine habe ihm von einer dritten Durchsuchung berichtet, die zehn Minuten gedauert habe (A17/10 F66). Zudem habe er einerseits angegeben, die Behörden seien abgesehen von den Hausdurchsuchungen immer wieder zur Kontrolle bei den Eltern vorbeigekommen (A17/4 F20). Andererseits habe er bei der ergänzenden Anhörung verneint, dass die Behörden ihn nebst den zwei oder drei Hausdurchsuchungen sonst noch gesucht hätten. So habe er ausgesagt, sonst sei nichts passiert respektive er habe nichts dergleichen mitbekommen (A25 S. 2). Ebenso habe er unterschiedliche Angaben dazu gemacht, was ihm sein Onkel von der ersten Hausdurchsuchung berichtet habe. Zuerst habe er angegeben, der Onkel sei in das Haus seiner Eltern gegangen und habe sich als Bruder seiner Mutter vorgestellt (A17/9 F55). Später habe er ausgesagt, man habe seinen Onkel gar nicht ins Haus gelassen, er habe draussen warten müssen (A25/8 F45). Auch bei seinen Angaben zur Flucht bestünden teils krasse Widersprüche. Bei der ersten Anhörung habe er ausgesagt, sich zwei Tage lang bei seinem Onkel aufgehalten zu haben (A17/6 F34). Bei der ergänzenden Anhörung hingegen habe er vorgebracht, er sei bereits am selben Abend zu seiner Schwester und seinem Schwager geflüchtet (A25/8 F44). Des Weiteren habe er einerseits ausgesagt, bis zur Ausreise keinerlei Kontakt zu seinen Familienangehörigen respektive Eltern gehabt zu haben (A25/9 F50), und andererseits zu Protokoll gegeben, seine Mutter und Schwester hätten ihn am zweiten Tag bei seinem Onkel besucht und von der zweiten Durchsuchung berichtet (A17/10 F61). Letztere Aussage stehe ihrerseits in krassem Widerspruch zu anderen Aussagen wie jener, wo er ausgesagt habe, die zweite Durchsuchung habe erst stattgefunden, als er sich in der Schweiz befunden habe (A25/9 F56), und jener, er habe sich nur bis zum Abend des ersten Tages beim Onkel aufgehalten (A25/8 F44). Auf entsprechende Vorhalte hin sei der Beschwerdeführer nicht in der Lage gewesen, diese aufzulösen oder plausibel zu erklären. Stattdessen habe er lediglich darauf beharrt, gewisse Aussagen nicht gemacht zu haben (A25/3 F15 und A25/12 F69 ff.). Die Protokolle seien ihm jedoch rückübersetzt worden und er habe ihre Richtigkeit mit seiner Unterschrift bestätigt. Dem Beschwerdeführer sei es somit in keiner Weise gelungen, einen konsistenten und widerspruchsfreien Ablauf der Geschehnisse zu schildern, die zu seiner Flucht aus dem Iran geführt haben sollten, was in Anbetracht der Bedeutung derselben für ihn doch sehr erstaune. So könne davon ausgegangen werden, dass ihm bekannt sei, wo er sich vor seiner Ausreise aufgehalten habe und mit wem er damals in Kontakt gestanden sei respektive mit wem er persönlich gesprochen habe. Zudem beträfen sämtliche Widersprüche in besonderer Weise das Kerngeschehen seiner Aussagen respektive den eigentlichen Ausreisegrund. Auch seien zum Zeitpunkt der Anhörungen erst rund eineinhalb respektive vier Jahre seit dem Ereignis vergangen, weshalb es ihm angesichts der für sein Leben einschneidenden Erlebnisse durchaus hätte möglich sein sollen, widerspruchsfrei über die Geschehnisse berichten. Die Aussagen seien augenscheinlich konstruiert und als nicht glaubhaft zu qualifizieren.</w:t>
      </w:r>
    </w:p>
    <w:p>
      <w:r>
        <w:rPr>
          <w:b/>
        </w:rPr>
        <w:t>E. 4.2</w:t>
      </w:r>
    </w:p>
    <w:p>
      <w:r>
        <w:t>In der Beschwerde wird entgegnet, der Beschwerdeführer habe einen grossmehrheitlich konsistenten und widerspruchsfreien Ablauf der Geschehnisse wiedergegeben. Die aufgetretenen Unstimmigkeiten würden der Glaubhaftigkeit der Aussagen des Beschwerdeführers keinen Abbruch tun. Wenn die ansonsten detailliert und mit zahlreichen Realitätskennzeichen versehenen Aussagen in die Würdigung mit einbezogen würden, werde klar, dass sich die Ereignisse so zugetragen hätten. Die gesuchsbegründenden Aussagen seien bei einer Gesamtwürdigung äusserst plausibel, detailreich, kongruent und gespickt mit Realkennzeichen. Sie seien insgesamt glaubhaft. Auf die Entgegnungen zur Argumentation der Vorinstanz im Einzelnen, wird nachfolgend eingegangen.</w:t>
      </w:r>
    </w:p>
    <w:p>
      <w:r>
        <w:rPr>
          <w:b/>
        </w:rPr>
        <w:t>E. 5.1</w:t>
      </w:r>
    </w:p>
    <w:p>
      <w:r>
        <w:t>Hinsichtlich der Beurteilung der Glaubhaftigkeit der gesuchsbegründenden Vorbringen ist festzustellen, dass nicht alle vom SEM dargelegten Argumente zu überzeugen vermögen. So ist zu berücksichtigen, dass die Befragung (im Gegensatz zur Anhörung) lediglich einen summarischen Charakter aufweist und zudem meist nur inhaltsgemäss und nicht wortwörtlich protokolliert und übersetzt wird, weshalb gemäss ständiger Rechtsprechung Aussagen in einer Befragung grundsätzlich nur ein beschränkter Beweiswert zukommen. Widersprüche dürfen daher für die Beurteilung der Glaubhaftigkeit nur dann herangezogen werden, wenn klare Aussagen bei der Befragung diametral von späteren Aussagen in der Anhörung abweichen, oder wenn bestimmte Ereignisse oder Befürchtungen, die später als zentrale Asylgründe genannt werden, nicht bereits in der Befragung zumindest ansatzweise erwähnt wurden (vgl. Entscheidungen und Mitteilungen der [vormaligen] Schweizerischen Asylrekurskommission [EMARK] 1993 Nr. 3). Bei der vom SEM herangezogenen Unstimmigkeit in den Aussagen des Beschwerdeführers dazu, ob er das Taxi habe wenden lassen oder am Ort des Geschehens vorbeigefahren sei, handelt es sich offensichtlich nicht um einen diametralen Widerspruch, der für die Beurteilung der Glaubhaftigkeit der Aussagen herangezogen werden kann.</w:t>
      </w:r>
    </w:p>
    <w:p>
      <w:r>
        <w:rPr>
          <w:b/>
        </w:rPr>
        <w:t>E. 5.2</w:t>
      </w:r>
    </w:p>
    <w:p>
      <w:r>
        <w:t>Das Bundesverwaltungsgericht gelangt indessen in Übereinstimmung mit der Vorinstanz zum Schluss, dass die gesuchsbegründenen Aussagen des Beschwerdeführers in einer Gesamtbetrachtung den Anforderungen an die Glaubhaftigkeit nicht zu genügen vermögen. Zur Vermeidung von Wiederholungen kann vorab - mit Ausnahme des dem Beschwerdeführer zu Unrecht angelasteten Widerspruchs - auf die zutreffenden Erwägungen in der angefochtenen Verfügung verwiesen werden. Die Entgegnungen in der Beschwerde sind nicht geeignet, die Aussagen des Beschwerdeführers glaubhafter erscheinen zu lassen. Insbesondere erweist sich das Vorbringen, mit den zwei Polizeibeamten bei der ersten Anhörung seien nur diejenigen anwesenden Beamten gemeint, die daran gewesen seien, seinen Kollegen zu verhaften, als wenig stichhaltig. Der Beschwerdeführer führte nämlich bei der freien Schilderung seiner Asylgründe ausdrücklich aus, er habe bei seiner Rückkehr mit dem Taxi beobachtet, dass sein Wagen abgeschleppt worden sei und zwei Beamte dort gestanden seien; die Hände seines Kollegen seien gefesselt gewesen (A17/4 F23). Diese Aussage lässt sich nicht in Einklang bringen mit seinen Aussagen bei der ergänzenden Anhörung, es seien sehr viele Polizisten bei seinem Fahrzeug respektive nur ungefähr fünf oder weniger Polizisten gewesen (A25/5 F27 und A25/7 F35). Ein Realkennzeichen ergibt sich aus diesen divergierenden Aussagen nicht. Auch die Erklärung zu den unstimmigen Aussagen in Bezug auf den Zielort, dies sei vermutlich auf einen Konzentrationsmangel zurückzuführen, überzeugt angesichts des für den Beschwerdeführer sehr einschneidenden Ereignisses auch in Berücksichtigung der seither vergangenen Zeit nicht. Gegen die Glaubhaftigkeit seiner Aussagen spricht auch die Tatsache, dass sich der Beschwerdeführer in Bezug auf die behördliche Suche nach ihm, die Anzahl Hausdurchsuchungen und seine Flucht widersprochen hat. Wenig stichhaltig sind die Erklärungen in der Beschwerde, der Beschwerdeführer habe seine frühere Aussage bei der ergänzenden Anhörung korrigiert und sich deshalb ohne Not in einen Widerspruch verwickelt, weil er seinen Erinnerungen - gemäss seinen Erinnerungen hätten lediglich zwei Hausdurchsuchungen stattgefunden - traue und sein Aussageverhalten nicht den Fragen anpasse. Damit gibt der Beschwerdeführer selber zu erkennen, dass sein Erinnerungsvermögen offenbar auch rund zweieinhalb Jahre nach der Erstanhörung noch intakt gewesen ist, obwohl er anschliessend ausführen lässt, Erinnerungen würden im Laufe der Zeit verblassen. Aufgrund seines weiteren Vorbringens, dies treffe umso stärker auf Ereignisse zu, die man nur vom Hörensagen kenne, müsste eher von der Wahrhaftigkeit seiner Aussagen bei der Erstanhörung ausgegangen werden. Als wenig hilfreich erweisen sich auch die Erklärungen in Bezug auf die unstimmigen Aussagen des Beschwerdeführers zu den Schilderungen des Onkels. Das Vorbringen, aus der Aussage bei der Erstanhörung, der Onkel sei ins Haus der Eltern gegangen und habe sich vorgestellt, lasse sich nicht ableiten, er habe sich im Haus frei und ungehindert bewegen können, trägt wenig zur Klärung bei. Der Beschwerdeführer erklärte bei der ergänzenden Anhörung im Unterschied zur Erstanhörung nämlich ausdrücklich, der Onkel habe ihm gesagt, er sei gar nicht ins Haus gelassen worden, er habe draussen warten müssen (A25/8 F45). Dabei handelt es sich nicht nur um einen vermeintlichen, sondern um einen tatsächlichen Wiederspruch. Er lässt sich auch nicht damit erklären, dass der Beschwerdeführer die Erzählung des Onkels bei der Zweitanhörung in anderen Worten und mit einer anderen Chronologie zu Protokoll gibt oder mit der Zeitspanne von zweieinhalb Jahren zwischen den Anhörungen. Der Einwand, aus der Angabe «sonst sei nichts passiert», die sich im Übrigen nicht an der von der Vorinstanz angegebenen Stelle (A25 S. 2) finden lasse, könne nicht ohne konkrete Nachfrage der Schluss gezogen werden, es hätten auch keine Kontrollen mehr bei den Eltern stattgefunden, ist zwar berechtigt. Er ist indessen bei einer Gesamtwürdigung nicht geeignet, die gesuchsbegründenden Aussagen insgesamt glaubhafter erscheinen zu lassen. Die von der Vorinstanz zitierten Protokollstellen zu den Schilderungen des Onkels (A17 F55 und A25 F45) stimmen lediglich in Bezug auf die Aussage des Beschwerdeführers überein, der Onkel habe mit dem Fahrer draussen vor dem Haus gesprochen. Der Widerspruch zum Punkt, ob der Onkel ins Haus gegangen sei oder gar nicht erst ins Haus habe gehen dürfen, bleibt jedoch. Er lässt sich auch nicht mit der Erklärung auflösen, aus der gesamten Aussage in A17 F55 ergebe sich, dass mit «ins Haus hereingehen» auch lediglich «zum Haus gehen» gemeint sein könne, zumal der Beschwerdeführer bei A25 F45 nicht mehr erwähnte, er habe sich als Bruder seiner Mutter vorgestellt. Die Unstimmigkeiten in den Aussagen des Beschwerdeführers zu seinem Verbleib im Iran nach dem Ereignis bis zur Ausreise lassen sich auch bei einer näheren Durchsicht nicht auflösen. Aus seiner Antwort auf die Frage, wie lange er sich nach dem Ereignis mit der Beschlagnahmung des Wagens bis zur Ausreise noch im Iran aufgehalten habe, ergibt sich unmissverständlich, dass er insgesamt zwei Nächte bei seinem Onkel gewesen sei, dann habe er sich auf den Weg in den Irak gemacht (A17/6 F34). Im Unterschied dazu führte er auf die Frage bei der ergänzenden Anhörung, wie lange er sich bei seinem Onkel aufgehalten habe, aus, er sei noch bis zum Sonnenuntergang bei ihm geblieben, dann habe sein Schwager ihn abgeholt (A25/8 F44). Seine auf Vorhalt hin gemachte Aussage, er habe nicht gesagt, sich zwei Tage bei seinem Onkel aufgehalten zu haben (A25/12 F69), ist nicht zu vereinbaren mit der Tatsache, dass der Beschwerdeführer die Richtigkeit seiner Aussagen bei der BzP und ersten Anhörung unterschriftlich bestätigt hat. Die Erklärung in der Beschwerde, der Beschwerdeführer habe sich bei der ergänzenden Anhörung nicht mehr daran erinnert, die erste Nacht beim Onkel verbracht zu haben, er korrigiere diesen Fehler hiermit, nachdem ihm dies bei der Auseinandersetzung mit seinen protokollierten Aussagen bewusst geworden sei, vermag nicht zu überzeugen. Eine Durchsicht der Protokolle der BzP und ersten Anhörung ergibt keine Hinweise darauf, dass es zu Verständigungsproblemen auf Farsi gekommen ist. Der Beschwerdeführer hat bei der ergänzenden Anhörung auf entsprechende Frage ausgeführt, keine sprachlichen Probleme mit dem Dolmetscher gehabt zu haben (A25/8 F42). Das Missverständnis beim Wort «Garage» wurde vom Dolmetscher geklärt. Des Weiteren lassen sich die Unstimmigkeiten in den Aussagen des Beschwerdeführers auch nicht mit der Zeitdauer zwischen dem angeblich fluchtauslösenden Ereignis und den Anhörungen erklären, zumal sie zentrale Punkte der Asylvorbringen betreffen. Vor diesem Hintergrund können die aufgezeigten Widersprüche und Ungereimtheiten nicht als Realkennzeichen des natürlichen Prozesses des Vergessens gewertet werden.</w:t>
      </w:r>
    </w:p>
    <w:p>
      <w:r>
        <w:rPr>
          <w:b/>
        </w:rPr>
        <w:t>E. 5.3</w:t>
      </w:r>
    </w:p>
    <w:p>
      <w:r>
        <w:t>Zusammenfassend ist festzuhalten, dass es dem Beschwerdeführer nicht gelungen ist, eine im Sinne von Art. 3 AsylG relevante Verfolgungsge-fahr nachzuweisen oder glaubhaft darzutun. Die Vorinstanz hat sein Asyl-gesuch demzufolge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7.3.2</w:t>
      </w:r>
    </w:p>
    <w:p>
      <w:r>
        <w:t>Im Iran herrscht auch im heutigen Zeitpunkt weder Krieg, Bürgerkrieg noch eine Situation allgemeiner Gewalt, aufgrund derer eine Rückkehr generell unzumutbar wäre (vgl. dazu etwa Urteile des BVGer D-2601/2018 vom 26. Mai 2020 E. 10.3.2 und D-5353/2017 vom 10. Januar 2019 E. 9.2.1).</w:t>
      </w:r>
    </w:p>
    <w:p>
      <w:r>
        <w:rPr>
          <w:b/>
        </w:rPr>
        <w:t>E. 7.3.3</w:t>
      </w:r>
    </w:p>
    <w:p>
      <w:r>
        <w:t>Darüber hinaus sind auch keine individuellen Gründe ersichtlich, die gegen einen Wegweisungsvollzug sprechen. Der Beschwerdeführer ist zwar in seinem Heimatstaat bereits seit mehreren Jahren landesabwesend, verfügt aber über (...) und langjährige Arbeitserfahrung in verschiedenen Bereichen. Zudem befinden sich seine Familienangehörigen ([...]) und weitere Verwandte, mit denen er regelmässig in Kontakt stehe, nach wie vor im Iran (A3/3 f.). Vor diesem Hintergrund ist nicht davon auszugehen, dass der Beschwerdeführer bei einer Rückkehr in eine existenzielle Notlage geraten wird.</w:t>
      </w:r>
    </w:p>
    <w:p>
      <w:r>
        <w:rPr>
          <w:b/>
        </w:rPr>
        <w:t>E. 7.3.4</w:t>
      </w:r>
    </w:p>
    <w:p>
      <w:r>
        <w:t>Nach dem Gesagten erweist sich der Vollzug der Wegweisung auch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auch sonst nicht zu beanstanden ist. Die Beschwerde ist abzuweisen.</w:t>
      </w:r>
    </w:p>
    <w:p>
      <w:r>
        <w:rPr>
          <w:b/>
        </w:rPr>
        <w:t>E. 9.1</w:t>
      </w:r>
    </w:p>
    <w:p>
      <w:r>
        <w:t>Der Antrag auf Bewilligung der unentgeltlichen Prozessführung im Sinne von Art. 65 Abs. 1 VwVG ist gutzuheissen, zumal sich die gestellten Rechtsbegehren nicht als aussichtslos erwiesen haben und die prozessuale Bedürftigkeit des Beschwerdeführers mit der eingereichten Fürsorgebestätigung belegt ist. Es sind folglich keine Verfahrenskosten zu erheben.</w:t>
      </w:r>
    </w:p>
    <w:p>
      <w:r>
        <w:rPr>
          <w:b/>
        </w:rPr>
        <w:t>E. 9.2</w:t>
      </w:r>
    </w:p>
    <w:p>
      <w:r>
        <w:t>Der Antrag auf amtliche Rechtsverbeiständung gemäss aArt. 110a Abs. 1 AsylG ist ebenfalls gutzuheissen und der mandatierte Rechtsvertreter als amtlicher Rechtsbeistand für das vorliegende Verfahren zu bestellen, zumal keine Ausnahme im Sinne von aArt. 110a Abs. 2 AsylG vorliegt. Das Bundesverwaltungsgericht hat dem Rechtsbeistand ein amtliches Honorar auszurichten (vgl. Art. 110a Abs. 1 AsylG i.V.m. Art. 9-14 des Reglements vom 21. Februar 2008 über die Kosten und Entschädigungen vor dem Bundesverwaltungsgericht [VGKE, SR 173.320.2]). Vom Rechtsbeistand wurde keine Kostennote eingereicht. Auf das Nachfordern einer solchen kann indes verzichtet werden, weil sich der notwendige Vertretungsaufwand aufgrund der Akten hinreichend zuverlässig abschätzen lässt (vgl. Art. 14 Abs. 2 VGKE). Dem amtlich bestellten Rechtsbeistand ist zu Lasten des Bundesverwaltungsgerichts ein amtliches Honorar von pauschal Fr. 1'200.- (inkl. Auslagen) auszurichten. Der amtliche Rechtsbeistand ist aufzufordern, dem Gericht seine Zahladresse mitzuteilen.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