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E-1939/2021 vom 22. September 2023</w:t>
      </w:r>
    </w:p>
    <w:p>
      <w:r>
        <w:t>Bundesverwaltungsgericht, 2023-09-22, FR</w:t>
      </w:r>
    </w:p>
    <w:p>
      <w:r>
        <w:rPr>
          <w:b/>
        </w:rPr>
        <w:t xml:space="preserve">Quelle: </w:t>
      </w:r>
      <w:r>
        <w:t>https://mcp.opencaselaw.ch/entscheid/bvger_E-1939_2021</w:t>
      </w:r>
    </w:p>
    <w:p>
      <w:r>
        <w:t>FR: TAF E-1939/2021 du 22 septembre 2023</w:t>
      </w:r>
    </w:p>
    <w:p>
      <w:r>
        <w:t>IT: TAF E-1939/2021 del 22 settembre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et dans les délais prescrits par la loi, le recours est recevable (art. 48 et 52 PA et art. 108 al. 2 LAsi).</w:t>
      </w:r>
    </w:p>
    <w:p>
      <w:r>
        <w:rPr>
          <w:b/>
        </w:rPr>
        <w:t>E. 1.3</w:t>
      </w:r>
    </w:p>
    <w:p>
      <w:r>
        <w:t>Il convient de préciser que le recours a eu un effet suspensif ex lege (art. 55 al. 1 PA). Avec le prononcé du présent arrêt, les demandes incidentes visant la suspension du renvoi et le maintien du statu quo durant la procédure de recours sont devenues sans objet.</w:t>
      </w:r>
    </w:p>
    <w:p>
      <w:r>
        <w:rPr>
          <w:b/>
        </w:rPr>
        <w:t>E. 2</w:t>
      </w:r>
    </w:p>
    <w:p>
      <w:r>
        <w:t>A l'appui de sa conclusion en cassation, l'intéressé fait valoir un établissement incomplet, respectivement inexact, des faits. Il reproche en particulier au SEM d'avoir minimisé les événements politiques ayant secoué le Togo en 2017 et 2018 et d'avoir ainsi sous-estimé ses craintes de persécution. Ce grief s'avère toutefois infondé. En effet, le SEM n'est pas sans connaître le contexte géopolitique togolais et les différents heurts ayant frappé ce pays ces dernières années. Ceux-ci s'avèrent toutefois sans incidence à ce stade de l'examen, dans la mesure où l'autorité inférieure a conclu à l'invraisemblance des déclarations du recourant, et relèvent davantage de l'analyse de l'exécution du renvoi (cf. infra consid. 9). Quoi qu'il en soit, le Tribunal ne peut que constater que l'autorité inférieure a pris en compte l'ensemble des motifs allégués par l'intéressé et procédé à un véritable examen en parfaite connaissance de cause, de sorte que tout grief d'ordre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w:t>
      </w:r>
    </w:p>
    <w:p>
      <w:r>
        <w:rPr>
          <w:b/>
        </w:rPr>
        <w:t>E. 4.2.1</w:t>
      </w:r>
    </w:p>
    <w:p>
      <w:r>
        <w:t>D'emblée, le Tribunal constate une véritable difficulté pour le recourant à répondre aux questions qui lui ont été posées au cours de son audition du 18 septembre 2020. Invité à exprimer de manière spontanée ses motifs d'asile, il a essentiellement déclaré avoir quitté le Togo car il risquait sa vie, était pourchassé et risquait d'être arrêté en lien avec sa participation aux manifestations des 17-18-19 août et 6-7 septembre 2017. Outre leur brièveté, les propos tenus à cette occasion étaient confus, peu structurés et dépourvus de substance. L'intéressé n'a fourni aucun détail concret et n'est pas parvenu à répondre aux interrogations de l'auditeur de manière convaincante, se contentant principalement de justifier ses lacunes par une difficulté à se remémorer certains événements traumatiques (cf. procès-verbal [ci-après : PV] du 18 septembre 2020, R83 et R89), une mémoire défaillante (cf. idem, R86 et R105) et les souffrances ressenties à aborder cette thématique (cf. ibid. R84, R86 et R105). Sans exclure que le recourant ait été confronté à des épreuves traumatisantes dans son passé, il pouvait raisonnablement être attendu de lui qu'il expose avec précision les motifs l'ayant conduit à fuir son pays d'origine, en fournissant des éléments personnels et concrets portant notamment sur les manifestations auxquelles il aurait participé, ses arrestations et leur chronologie. Ce constat vaut d'ailleurs d'autant plus que, selon ses propres déclarations, il se serait déjà soumis à un tel exercice devant les autorités grecques (cf. ibid, R86). Le recourant délivre certes un récit plus étayé à l'occasion de son audition complémentaire du 11 novembre 2020. Toutefois, celui-ci s'avère stéréotypé et semble avoir été échafaudé sur la base de ses précédentes déclarations. L'on constate en particulier que le requérant s'est dispensé de donner toute information relative à la chronologie et au déroulement de ses prétendues activités politiques et des arrestations qui s'en sont suivies, agrémentant son récit de vagues repères temporels (« un certain temps », « une nuit », etc.). Il n'a été capable ni d'indiquer ce qui lui était concrètement reproché par les autorités, ni quand et comment il avait été appréhendé et détenu. S'il déclare avoir manifesté dans la rue pour l'intégrité territoriale, les droits de la citoyenneté, la non-violence, les droits de l'homme, le respect de la constitution et la liberté d'expression, il est resté particulièrement évasif sur les circonstances concrètes (« tout ce dont je peux vous dire par rapport aux arrestations, c'était beaucoup de manifestations, on nous pourchassait pour nous mettre la main dessus et on nous lançait des gaz lacrymogènes et des projectiles » [cf. PV du 18 septembre 2020, R101]). Force est en outre de constater que l'intéressé n'a pas été en mesure d'exposer les risques concrets auxquels il serait exposé en cas de retour au Togo, indiquant uniquement qu'il subirait le même sort que d'autres personnes, à savoir la mort (cf. PV du 11 novembre 2020, R58). A noter encore que bien qu'il se décrive comme un militant politique, le recourant n'a pas fait preuve d'une connaissance approfondie du contexte politique togolais, indiquant pour l'essentiel que le Togo avait toujours été une autocratie, un régime dictatorial et que le RPT (« Rassemblement du peuple togolais ») était au pouvoir depuis qu'il est enfant (cf. idem, R48ss). Invité à en dire davantage sur l'évolution de la situation depuis 2017, il a uniquement déclaré que celle-ci s'était empirée, que les jeunes étaient tués, massacrés et arrêtés sans raison. S'agissant du PNP, à savoir le parti auquel il aurait adhéré, il a mentionné la date de sa fondation, le nom de son président et ajouté que son but était de revendiquer dans la rue « pour obtenir quelque chose » (cf. ibid., R104). De telles informations, notoires et stéréotypées, ne correspondent à l'évidence pas à celles que donnerait un militant politique particulièrement engagé, lequel se serait, selon toute vraisemblance, davantage déterminé sur les dysfonctionnements politiques dont son pays est affecté. Enfin, les explications du recourant portant sur l'aide que lui aurait fournie le prêtre de son église et l'épisode l'ayant conduit à quitter définitivement le pays ôtent toute crédibilité à son discours. Il est en effet douteux qu'outre le gîte, le prêtre ait eu la possibilité de financer, sans contrepartie aucune, sa scolarité et son voyage en avion jusqu'en Europe. De même, il est peu plausible qu'après avoir été pris en chasse par un véhicule avec plusieurs personnes à bord, le recourant soit parvenu, seul et alors qu'il était à pied, à lui échapper, tout en parvenant à se relever après être tombé au sol. En tout état de cause, il est inconcevable que le recourant ait pu regagner sans difficulté le domicile du prêtre, sans y être directement interpellé par les agents à sa recherche.</w:t>
      </w:r>
    </w:p>
    <w:p>
      <w:r>
        <w:rPr>
          <w:b/>
        </w:rPr>
        <w:t>E. 4.2.2</w:t>
      </w:r>
    </w:p>
    <w:p>
      <w:r>
        <w:t>A l'instar du SEM, le Tribunal n'entend pas remettre en doute la participation du recourant à quelques manifestations ni son adhésion au PNP. Cela étant, les documents qu'il a produits pour attester son engagement dans ce parti ne permettent pas encore de tenir ses allégations pour vraies. La convocation de police du 21 août 2017 est à l'évidence un faux. D'abord, sa production est tardive, l'intéressé l'ayant présentée à l'occasion de sa première audition sur les motifs, soit près d'une année après le dépôt de sa demande d'asile. Prétextant l'avoir retrouvée, il a pourtant simultanément indiqué l'avoir montrée à la police à F._______ (cf. PV du 18 septembre 2020, R70), soit vraisemblablement à son arrivée en Suisse. Ensuite, il n'est pas crédible que le recourant ait pu conserver ce document dans sa version originale au cours de son voyage, alors même que le sac contenant ses documents d'identité aurait quant à lui été égaré en mer. Interrogé à ce sujet, l'intéressé a répondu, selon les versions, que sa convocation se trouvait dans ses poches, dans son portefeuille ou encore dans une petite sacoche qu'il portait constamment sur lui pendant son voyage. Il est toutefois douteux et contraire à toute logique que le recourant voue un soin particulier à conserver une convocation de police et des documents attestant sa qualité de membre du PNP plutôt que ses documents d'identité, à l'instar de son passeport et sa carte d'identité. A noter sur ce dernier point que le recourant a tantôt déclaré avoir laissé sa carte d'identité au Togo (cf. PV du 9 octobre 2019, ch. 4.03), tantôt l'avoir égarée en mer (cf. PV du 18 septembre 2020, R74). Pour ces motifs déjà, la convocation précitée doit être considérée comme ayant été produite pour les besoins de la cause. A cela s'ajoute encore que, comme relevé par le SEM, la date qu'elle comporte et la manière dont le recourant se l'est vu notifier portent également à confusion.</w:t>
      </w:r>
    </w:p>
    <w:p>
      <w:r>
        <w:rPr>
          <w:b/>
        </w:rPr>
        <w:t>E. 4.2.3</w:t>
      </w:r>
    </w:p>
    <w:p>
      <w:r>
        <w:t>Les arguments avancés dans le recours ne sont pas susceptibles de renverser ce constat. Contrairement à ce que semble prétendre le recourant, il ne lui est pas reproché, en soi, d'avoir complété ses déclarations à la relecture de son procès-verbal en alléguant avoir battu à mort des policiers lors des manifestations. Néanmoins, et sans que cet élément n'apparaisse décisif, cet ajout tend tout de même à attester l'invraisemblance de son récit, étant relevé qu'il est peu probable que l'intéressé n'ait pas été appréhendé par les autorités après avoir battu à mort des policiers. Quant à l'émotion exprimée à l'évocation de son histoire, elle ne saurait se révéler déterminante. Le Tribunal n'entend ni nier ni minimiser l'impact des événements traumatiques potentiels vécus par le recourant, tel qu'attesté d'ailleurs par les médecins ayant diagnostiqué un PTSD à son endroit. Toutefois, après une lecture attentive du dossier, l'on ne saurait conclure que les faits décrits par l'intéressé sont à l'origine de son traumatisme.</w:t>
      </w:r>
    </w:p>
    <w:p>
      <w:r>
        <w:rPr>
          <w:b/>
        </w:rPr>
        <w:t>E. 4.3</w:t>
      </w:r>
    </w:p>
    <w:p>
      <w:r>
        <w:t>Compte tenu de ce qui précède, il y a lieu de confirmer que le recourant ne rend pas vraisemblables les motifs de fuite invoqués. Toute crainte de persécution en cas de retour au Togo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au Togo, à de sérieux préjudices au sens de l'art. 3 LAsi (cf. supra).</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8.3.3</w:t>
      </w:r>
    </w:p>
    <w:p>
      <w:r>
        <w:t>En l'espèce, pour les raisons déjà exposées (cf. consid. 4),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9.4) n'apparaissent pas, au vu des pièces du dossier, d'une gravité telle que l'exécution de son renvoi serait illicite au sens de la jurisprudence précitée, étant précisé que son infection au VIH ne se trouve pas en phase terminale.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9.3.1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9.3.2</w:t>
      </w:r>
    </w:p>
    <w:p>
      <w:r>
        <w:t>Selon la jurisprudence toujours, l'exécution du renvoi d'une personne infectée par le VIH est en principe raisonnablement exigible tant que la maladie n'a pas atteint le stade C (selon la classification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cf. ATAF 2009/2 consid. 9.3.4, confirmé notamment dans les arrêts du Tribunal D-5131/2020 du 26 mai 2021 consid. 7.3.2 et 7.3.3 ; E-2276/2017 du 27 mars 2019 consid. 5.4 ss).</w:t>
      </w:r>
    </w:p>
    <w:p>
      <w:r>
        <w:rPr>
          <w:b/>
        </w:rPr>
        <w:t>E. 9.4.1</w:t>
      </w:r>
    </w:p>
    <w:p>
      <w:r>
        <w:t>En l'espèce, l'intéressé est atteint d'une infection au VIH de stade CDC A3. S'étant initialement vu administrer une prophylaxie (Bactrim forte) et un traitement antirétroviral comprenant deux médicaments (Descovy et Tivicay), il bénéficie désormais d'un seul médicament antirétroviral (Triumeq) à ingérer une seule fois par jour. Celui-ci contient trois substances actives différentes, à savoir le dolutégravir, l'abacavir et le lamivudine. Les tests réalisés à l'endroit de l'intéressé ont par ailleurs révélé que celui-ci avait développé une résistance aux substances tipranavir et ritonavir. Selon les documents médicaux figurant au dossier, si la reconstitution immunitaire de l'intéressé n'est pas encore complète (état au 27 mars 2023), celui-ci présente une très bonne adhérence au traitement et sa maladie est bien contrôlée. Hormis des céphalées de tension, il n'a pas manifesté de symptômes particuliers et l'apparition de maladies opportunistes a été exclue par les médecins. Ce nonobstant, la poursuite du traitement médicamenteux à vie se révèle indispensable, de même qu'un suivi régulier en infectiologie, une vaccination annuelle contre la grippe et une vaccination de rappel contre les pneumocoques. L'intéressé est par ailleurs atteint d'une enthésopathie distale du ligament rotulien, à savoir une inflammation de l'endroit où le ligament de la rotule s'insère sur le tibia. Selon les médecins, cette affection s'avère invalidante pour pratiquer certaines activités, mais n'empêche pas le recourant d'exercer sa formation de (...). Sur le plan psychique, l'intéressé présente un PTSD et a souffert d'un état anxiodépressif réactionnel (F 41.2) après avoir appris sa séropositivité. Souffrant de troubles du sommeil, d'une perte d'appétit et de ruminations, il a bénéficié d'un suivi psychique à raison d'une fois par semaine dès les premiers symptômes ressentis, lequel s'est révélé bénéfique. En septembre 2020, une médication à base de Sertraline et Tranxilium a été mise en place. Selon le dernier rapport médical versé au dossier (cf. rapport du 27 mars 2023), l'intéressé présente toujours une fragilité psychique mais, faute d'indication contraire, ne bénéficie plus d'aucun traitement médicamenteux ou suivi psychique.</w:t>
      </w:r>
    </w:p>
    <w:p>
      <w:r>
        <w:rPr>
          <w:b/>
        </w:rPr>
        <w:t>E. 9.4.2</w:t>
      </w:r>
    </w:p>
    <w:p>
      <w:r>
        <w:t>Il convient d'examiner la possibilité pour le recourant de voir traiter, dans son pays, le VIH qui l'affecte. A cet égard, il ressort des investigations entreprises par le SEM que le Triumeq que s'est vu prescrire l'intéressé pour le traitement de son infection au VIH n'est pas disponible au Togo. Cela dit, l'indisponibilité de ce médicament ne saurait lui être préjudiciable. En effet, le recourant peut se faire dispenser, dans ce pays, une thérapie anti-VIH sous la forme de deux médicaments différents, à savoir le Dolutegravir et un autre médicament combinant les substances actives abacavir et lamivudine, notamment commercialisé sous les marques Kivexa et Epzicom. Contrairement aux constatations de ses médecins, la prise en charge de sa maladie, comprenant essentiellement les vaccinations recommandées et un suivi en infectiologie, pourra se faire dans plusieurs structures médicales du Togo, notamment au Centre hospitalier universitaire Sylvanus Olympio de Lomé (...), qui offre un suivi ambulatoire aux patients atteints du VIH (cf. https://chuso.tg/service_chuso/maladies-infectieuses-et-tropicales/ [consulté le 15.09.2023]), voire dans des cabinets privés et des organisations non gouvernementales (cf. ATAF 2009/2 consid. 9.3.4 ; Consulting médical du SEM du 10 mars 2021). S'il est vrai que seul un faible pourcentage de la population togolaise est couvert par un système de protection sociale, les coûts relatifs au traitement du VIH (médicaments antiviraux et premières analyses de laboratoire) sont pris en charge par le programme national de lutte contre le sida. Les examens supplémentaires sont, quant à eux, à la charge des patients, au même titre que le financement des traitements psychiatriques (cf. notamment arrêt du Tribunal E-335/2019 du 21 octobre 2021 consid. 7.4 et Consulting précité). En conséquence, il apparaît que la poursuite du suivi dont le recourant nécessite pour le traitement du VIH est disponible au Togo et y est accessible.</w:t>
      </w:r>
    </w:p>
    <w:p>
      <w:r>
        <w:rPr>
          <w:b/>
        </w:rPr>
        <w:t>E. 9.4.3</w:t>
      </w:r>
    </w:p>
    <w:p>
      <w:r>
        <w:t>Si les problèmes psychiques exprimés par le passé ne semblent plus d'actualité, les derniers documents médicaux versés au dossier étant dépourvus de toute indication relative à un éventuel suivi ou traitement médicamenteux, une prise en charge de ces maux est également disponible au Togo, comme retenu à juste titre par le SEM. Au besoin, il sera loisible à l'intéressé d'obtenir une aide au retour sous la forme d'une fourniture de médicaments (cf. art. 93 al. 1 let. d LAsi) ou d'une prise en charge de son traitement pour la période initiale suivant son renvoi (cf. art. 75 de l'ordonnance 2 du 11 août 1999 sur l'asile [OA 2, RS 142.312]).</w:t>
      </w:r>
    </w:p>
    <w:p>
      <w:r>
        <w:rPr>
          <w:b/>
        </w:rPr>
        <w:t>E. 9.5</w:t>
      </w:r>
    </w:p>
    <w:p>
      <w:r>
        <w:t>A cela s'ajoute que, selon ses déclarations, le recourant a été scolarisé jusqu'au niveau baccalauréat et a étudié près de deux ans à l'université de C._______. Il a ensuite travaillé au (...) de cette même ville en tant que (...). En Suisse, il a travaillé depuis le mois (...) dans le domaine du (...), d'abord comme (...) puis en qualité de (...). Compte tenu de sa formation, de son expérience et de son âge ([...] ans), l'on peut raisonnablement attendre de sa part qu'il retrouve du travail à son retour au Togo, qui lui permettra notamment de financer, cas échéant, ses traitements médicaux. A noter que si elle représente une difficulté pour pratiquer certaines activités, son inflammation articulaire ne l'empêche pas, selon les médecins, d'exercer sa profession actuelle. Enfin, il sied de relever que le recourant dispose au Togo de plusieurs membres de sa famille, dont son enfant vivant auprès d'une tante à C._______, ainsi que des demi-frères, demi-soeurs, oncles, autres tantes et cousins, avec lesquels il pourra reprendre contact de façon à favoriser sa réinstallation dans ce pays.</w:t>
      </w:r>
    </w:p>
    <w:p>
      <w:r>
        <w:rPr>
          <w:b/>
        </w:rPr>
        <w:t>E. 9.6</w:t>
      </w:r>
    </w:p>
    <w:p>
      <w:r>
        <w:t>Partant, l'état de santé du recourant ne constitue pas un obstacle insurmontable de nature à rendre l'exécution du renvoi inexigible.</w:t>
      </w:r>
    </w:p>
    <w:p>
      <w:r>
        <w:rPr>
          <w:b/>
        </w:rPr>
        <w:t>E. 9.7</w:t>
      </w:r>
    </w:p>
    <w:p>
      <w:r>
        <w:t>Pour l'ensemble de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11.1</w:t>
      </w:r>
    </w:p>
    <w:p>
      <w:r>
        <w:t>L'assistance judiciaire totale ayant été accordée au recourant par décision incidente du 11 avril 2023, il n'y a pas lieu de percevoir de frais de procédure (art. 65 al. 1 PA).</w:t>
      </w:r>
    </w:p>
    <w:p>
      <w:r>
        <w:rPr>
          <w:b/>
        </w:rPr>
        <w:t>E. 11.2</w:t>
      </w:r>
    </w:p>
    <w:p>
      <w:r>
        <w:t>Une indemnité à titre d'honoraires et de débours est accordée au mandataire désigné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11.3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200 à 220 francs pour les avocats (cf. art. 12 FITAF, en rapport avec l'art. 10 al. 2 FITAF).</w:t>
      </w:r>
    </w:p>
    <w:p>
      <w:r>
        <w:rPr>
          <w:b/>
        </w:rPr>
        <w:t>E. 11.4</w:t>
      </w:r>
    </w:p>
    <w:p>
      <w:r>
        <w:t>En l'absence de dépôt d'un décompte de prestations, l'indemnité correspondant aux frais nécessaires à la défense de la cause est arrêtée à 2'000 francs sur la base du dossier. Elle ne comprend aucun supplément TVA au sens de l'art. 9 al. 1 let. c FITAF, le mandataire n'ayant pas fait valoir de prétention à l'allocation de ce supplément.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