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E-1930/2013 vom 18. September 2014</w:t>
      </w:r>
    </w:p>
    <w:p>
      <w:r>
        <w:t>Bundesverwaltungsgericht, 2014-09-18, DE</w:t>
      </w:r>
    </w:p>
    <w:p>
      <w:r>
        <w:rPr>
          <w:b/>
        </w:rPr>
        <w:t xml:space="preserve">Quelle: </w:t>
      </w:r>
      <w:r>
        <w:t>https://mcp.opencaselaw.ch/entscheid/bvger_E-1930_2013</w:t>
      </w:r>
    </w:p>
    <w:p>
      <w:r>
        <w:t>FR: TAF E-1930/2013 du 18 septembre 2014</w:t>
      </w:r>
    </w:p>
    <w:p>
      <w:r>
        <w:t>IT: TAF E-1930/2013 del 18 settembre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Asylbereich endgültig, ausser bei Vorliegen eines Auslieferungsersuchens des Staates, vor welchem die beschwerdeführende Person Schutz sucht (Art. 105 AsylG; Art. 83 Bst. d Ziff. 1 BGG). Ein solches ist vorliegend nicht gegeben, womit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105 und Art. 108 Abs. 2 AsylG, Art. 48 Abs. 1 und Art. 52 VwVG). Auf die Beschwerde ist einzutreten.</w:t>
      </w:r>
    </w:p>
    <w:p>
      <w:r>
        <w:rPr>
          <w:b/>
        </w:rPr>
        <w:t>E. 2</w:t>
      </w:r>
    </w:p>
    <w:p>
      <w:r>
        <w:t>Am 1. Februar 2014 trat die Revision des Asylgesetzes vom 14. Dezember 2012 in Kraft. Gemäss Abs. 1 der diesbezüglichen Übergangsbestimmungen gilt für im Zeitpunkt des Inkrafttretens hängige Verfahren - mit vorliegend nicht einschlägigen Ausnahmen - das neue Recht.</w:t>
      </w:r>
    </w:p>
    <w:p>
      <w:r>
        <w:rPr>
          <w:b/>
        </w:rPr>
        <w:t>E. 3</w:t>
      </w:r>
    </w:p>
    <w:p>
      <w:r>
        <w:t>Die Kognition des Bundesverwaltungsgerichts im Asylbereich und die zulässigen Rügen bestimmen sich nach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stellte sich im angefochtenen Entscheid zu den geltend gemachten Vorfluchtgründen auf den Standpunkt, aufgrund oberflächlicher, widersprüchlicher und nachgeschobener Aussagen könne dem Beschwerdeführer eine Verfolgung im Sinne von Art. 3 AsylG nicht geglaubt werden. Die Vorbringen hielten den Anforderungen an die Glaubhaftigkeit gemäss Art. 7 AsylG nicht stand, so dass ihre Asylrelevanz nicht geprüft werden müsse. Demzufolge erfülle er die Flüchtlingseigenschaft nicht, so dass das Asylgesuch abzulehnen sei.</w:t>
      </w:r>
    </w:p>
    <w:p>
      <w:r>
        <w:rPr>
          <w:b/>
        </w:rPr>
        <w:t>E. 5.2</w:t>
      </w:r>
    </w:p>
    <w:p>
      <w:r>
        <w:t>In der Rechtsmitteleingabe führte der Beschwerdeführer betreffend seine Vorfluchtgründe aus, die Argumente, welche das BFM gegen die Glaubhaftigkeit seiner geltend gemachten Verfolgungsmassnahmen vortrage, könnten insgesamt nicht überzeugen, weshalb ihm diese zu glauben seien. Insbesondere hob er hervor, die Entdeckung, dass in seinem Geschäft oppositionelle Flugschriften vervielfältigt worden seien, löse ohne Zweifel eine gegen ihn gerichtete staatliche Verfolgung aus, die im Sinne von Art. 3 AsylG als asylrelevant zu betrachten sei. Auf Beschwerdeebene werden neu exilpolitische Aktivitäten des Beschwerdeführers in der Schweiz geltend gemacht. Durch sein exilpolitisches Engagement habe er auch subjektive Nachfluchtgründe gesetzt.</w:t>
      </w:r>
    </w:p>
    <w:p>
      <w:r>
        <w:rPr>
          <w:b/>
        </w:rPr>
        <w:t>E. 5.3</w:t>
      </w:r>
    </w:p>
    <w:p>
      <w:r>
        <w:t>In seiner Vernehmlassung führte das BFM hierzu aus, dass die eingereichten Beweismittel - namentlich die Mitgliedsbestätigung der IDB, die polizeiliche Bewilligung für eine Standaktion, Fotos des Beschwerdeführers an Standaktionen und die Demonstrationsankündigungen - nicht darauf hinweisen würden, dass er über ein politisches Profil verfüge, das ihn bei einer Rückkehr in den Iran einer konkreten Gefährdung aussetzen würde.</w:t>
      </w:r>
    </w:p>
    <w:p>
      <w:r>
        <w:rPr>
          <w:b/>
        </w:rPr>
        <w:t>E. 6.1</w:t>
      </w:r>
    </w:p>
    <w:p>
      <w:r>
        <w:t>Die Erwägungen der Vorinstanz in der angefochtenen Verfügung sind nicht zu beanstanden und die entsprechende Folgerung des BFM, wonach die Vorbringen des Beschwerdeführers den Anforderungen an die Glaubhaftigkeit gemäss Art. 7 AsylG nicht zu genügen vermögen, ist zu bestätigen. Seine Aussagen sind zu wesentlichen geltend gemachten Sachverhaltselementen unstimmig, teils nachgeschoben und teils gar widersprüchlich und somit in entscheidrelevanter Hinsicht nicht glaubhaft. Die Erklärungsversuche in der Beschwerdeschrift vermögen diese Mängel im Aussageverhalten nicht aufzulösen.</w:t>
      </w:r>
    </w:p>
    <w:p>
      <w:r>
        <w:rPr>
          <w:b/>
        </w:rPr>
        <w:t>E. 6.2</w:t>
      </w:r>
    </w:p>
    <w:p>
      <w:r>
        <w:t>So hat das BFM zu Recht festgestellt, dass der Beschwerdeführer als Informationsquelle, von der er von der Verhaftung von Mitgliedern seiner Gruppe erfahren habe, vorerst Kollegen und später seinen Cousin genannt hat. Es ist der Einschätzung des BFM zuzustimmen, dass es sich dabei in Bezug auf Personenanzahl und persönliche Beziehung um einen wesentlichen Unterschied handelt und Zweifel am Wahrheitsgehalt dieses Vorbringens berechtigt sind. Dem Einwand in der Rechtsmitteleingabe, es liege dabei eine nur geringfügige Unstimmigkeit vor, kann nicht gefolgt werden. Das Vorbringen des Beschwerdeführers anlässlich der Bundesanhörung, sein Nachbar aus Teheran habe ihm telefonisch mitgeteilt, dass die Geheimpolizei zahlreich in seinem Geschäft aufgetaucht sei, alles beschlagnahmt und all seine Mitarbeiter mitgenommen habe, hat er in der Erstanhörung nicht erwähnt. Das BFM führt richtigerweise aus, dass zu erwarten gewesen wäre, dass er diese Hausdurchsuchung als Kerngeschehen der geltend gemachten Verfolgung bereits in der Erstbefragung vorgebracht hätte. Auch in der Rechtsmitteleingabe wird eingeräumt, dass der geltend gemachten Hausdurchsuchung im Kontext der Asylbegründung eine wichtige Rolle zukomme und man deshalb erwarten müsste, dass sie beim ersten Interview erwähnt worden wäre. Der Erklärungsversuch des Beschwerdeführers, das Protokoll der Erstbefragung gebe bloss ein standardisiertes Frage-Antwort-Spiel wider und es gebe Anzeichen einer unter Zeitdruck gestandenen und stressgeprägten Befragungssituation, vermag letztlich - auch unter Berücksichtigung des summarischen Charakters der Erstbefragungen - nicht zu überzeugen. Auf die Frage anlässlich der Erstbefragung, was gegen eine Rückkehr in sein Heimatland spreche, brachte er vor, er habe Angst, umgebracht zu werden und nannte als Hauptgrund lediglich ausdrücklich, " da man Mitglieder der Gruppe - meine Kollegen" festgenommen habe (A6/10, Pt. 7.01). Im Rahmen der Bundesanhörung stützte er hingegen seine Angst primär auf die Informationen, die ihm sein Nachbar in Teheran telefonisch mitgeteilt habe und betonte, deswegen gewusst zu haben, dass er in Gefahr sei (A16/15, F/A 68). Aufgrund dieser Aussagen anlässlich der Bundesanhörung wäre der zentrale Anlass seiner unmittelbaren Ausreise aus dem Heimatland die Durchsuchung seines Geschäftes in Teheran und die Festnahme seiner Mitarbeiter gewesen. Dass er dies anlässlich der Erstbefragung nicht zumindest ansatzweise erwähnt hätte, wenn es sich in Wirklichkeit ereignet hätte, ist demnach nicht nachvollziehbar. Es ist somit in der Tat von einem Nachschieben eines wesentlichen Ereignisses und einer Steigerung des Sachverhaltes auszugehen, die weitere ernsthafte Zweifel begründen, dass sich die Ereignisse tatsächlich wie vom Beschwerdeführer geschildert ereignet haben. Sodann ist mit den Erwägungen des BFM in der angefochtenen Verfügung einig zu gehen, dass die Aussagen des Beschwerdeführers im Zusammenhang mit der geltend gemachten Verhaftung seiner Eltern Ungereimtheiten aufweisen. So stellt das BFM zu Recht fest, das Vorbringen, er habe seine Eltern zum Zeitpunkt vor seiner Ausreise weder kontaktiert noch informiert, weil er ihnen keine Sorgen habe bereiten wollen (A16/15, F/A 82-85), darauf hindeutet, dass er nicht wusste, dass sie verhaftet worden sind. Etwas später sagte er jedoch aus, er habe in Tabriz von seinem Cousin erfahren, dass sie verhaftet worden seien (A16/15, F/A 88). Das BFM folgert daraus richtigerweise, dass er seine Eltern somit gar nicht hätte kontaktieren können. Die entsprechenden Einwände in der Beschwerdeschrift zielen an der Argumentation des BFM vorbei und sind demnach unbehelflich, wenn bloss erwidert wird, es sei ihm im damaligen Zeitpunkt gar nicht möglich gewesen, die Eltern anzurufen und somit die Aussagen unter F/A 82-85 und die daraus zu ziehenden Schlüsse ausgeblendet werden. Schliesslich widerspricht sich der Beschwerdeführer zur Dauer und zur Informationsquelle bezüglich der angeblichen Haft der Eltern. Einerseits gab er zu Protokoll, seine Eltern hätten ihm gesagt, sie seien eine Woche in Haft gewesen (A16/15, F/A 90). Auf den Widerspruch angesprochen, dass er anlässlich der Erstanhörung ausgesagt habe, seine Eltern seien drei Tage in Haft genommen worden, erwiderte er, sie hätten nicht genau gesagt, dass es eine Woche gewesen sei und er habe von jemand anderem erfahren, dass sie eine Woche in Haft verbracht hätten (A16/15, F/A 104). Aufgrund des gesamten Aussageverhaltens konnte der Beschwerdeführer den geltend gemachten Sachverhalt in entscheidwesentlichen Aspekten nicht glaubhaft machen. Es kann demnach darauf verzichtet werden, auf weitere Ausführungen in der angefochtenen Verfügung und die entsprechenden Erwiderungen in der Beschwerdeschrift näher einzugehen.</w:t>
      </w:r>
    </w:p>
    <w:p>
      <w:r>
        <w:rPr>
          <w:b/>
        </w:rPr>
        <w:t>E. 6.3</w:t>
      </w:r>
    </w:p>
    <w:p>
      <w:r>
        <w:t>Aufgrund dieser Erwägungen vermochte der Beschwerdeführer keine Vorfluchtgründe glaubhaft zu machen. Zusammenfassend ist festzustellen, dass der Beschwerdeführer im Zeitpunkt seiner Ausreise aus dem Heimatland die Flüchtlingseigenschaft nicht erfüllt hat.</w:t>
      </w:r>
    </w:p>
    <w:p>
      <w:r>
        <w:rPr>
          <w:b/>
        </w:rPr>
        <w:t>E. 7.1</w:t>
      </w:r>
    </w:p>
    <w:p>
      <w:r>
        <w:t>Sodann sind die geltend gemachten subjektiven Nachfluchtgründe zu prüfen. Der Beschwerdeführer macht das Vorliegen subjektiver Nachfluchtgründe im Sinn von Art. 54 AsylG geltend, indem er vorbringt, er sei seit anfangs Februar 2013 aktives Mitglied der Iranischen Demokratischen Bewegung IDB. Er nehme regelmässig in der Öffentlichkeit an Standaktionen und Kundgebungen der iranischen Oppositionsgruppe teil. Diese Vorbringen werden mit verschiedenen eingereichten Beweismitteln gestützt. Die in der Schweiz aktiven Mitarbeiter der iranischen Sicherheitskräfte würden die iranische Exilopposition systematisch überwachen und deren Aktivisten identifizieren, weshalb er durch sein exilpolitisches Engagement auch subjektive Nachfluchtgründe gesetzt habe.</w:t>
      </w:r>
    </w:p>
    <w:p>
      <w:r>
        <w:rPr>
          <w:b/>
        </w:rPr>
        <w:t>E. 7.2</w:t>
      </w:r>
    </w:p>
    <w:p>
      <w:r>
        <w:t>Subjektive Nachfluchtgründe begründen zwar die Flüchtlingseigen­schaft im Sinne von Art. 3 AsylG, führen jedoch nach Art. 54 AsylG zum Asylausschluss. Personen, welche subjektive Nachfluchtgründe nachweisen oder glaubhaft machen können, werden hingegen als Flüchtlinge vorläufig aufgenommen (vgl. BVGE 2009/28 E. 7.1 m.w.H.).</w:t>
      </w:r>
    </w:p>
    <w:p>
      <w:r>
        <w:rPr>
          <w:b/>
        </w:rPr>
        <w:t>E. 7.3</w:t>
      </w:r>
    </w:p>
    <w:p>
      <w:r>
        <w:t>Die am 1. Februar 2014 in Kraft getretene Bestimmung von Art. 3 Abs. 4 AsylG hält zwar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allerdings durch den ausdrücklichen Hinweis auf den Vorbehalt der Geltung des Abkommens vom 28. Juli 1951 über die Rechtsstellung der Flüchtlinge (FK, SR 0.142.30) wieder relativiert (Art. 3 Abs. 4 in fine AsylG).</w:t>
      </w:r>
    </w:p>
    <w:p>
      <w:r>
        <w:rPr>
          <w:b/>
        </w:rPr>
        <w:t>E. 7.4</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Sinne von Art. 3 AsylG befürchten muss.</w:t>
      </w:r>
    </w:p>
    <w:p>
      <w:r>
        <w:rPr>
          <w:b/>
        </w:rPr>
        <w:t>E. 7.5.1</w:t>
      </w:r>
    </w:p>
    <w:p>
      <w:r>
        <w:t>Das Bundesverwaltungsgericht geht in seiner Praxis davon aus, dass sich die iranischen Geheimdienste auf die Erfassung von Personen konzentrieren, welche über die massentypischen und niedrigprofilierten Erscheinungsformen exilpolitischer Proteste hinaus Funktionen wahrnehmen beziehungsweise Aktivitäten entwickeln, die sie aus der Masse der mit dem Regime Unzufriedenen herausheben und als ernsthafte und potentiell gefährliche Regimegegner erscheinen lassen. Mitglieder in Exilorganisationen von im Iran verbotenen oppositionellen Parteien, Teilnehmer und Mitwirkende an regimekritischen Demonstrationen, welche die dabei üblichen Plakate tragen und Parolen rufen, fallen nicht darunter. Somit ist nicht die optische Erkennbarkeit und die Möglichkeit der Identifizierung massgebend, sondern, ob sich die Person durch ihre Aktivität in solchem Masse hervorgetan hat, dass sie aus Sicht des iranischen Regimes als potentielle Bedrohung wahrgenommen wird (vgl. zum Ganzen BVGE 2009/28 E. 7.4.3; vgl. sodann beispielsweise die Entscheide E-5454/2013 vom 25. Februar 2014 E. 6.4, D-5729/2010 vom 17. Mai 2013 E. 4.4).</w:t>
      </w:r>
    </w:p>
    <w:p>
      <w:r>
        <w:rPr>
          <w:b/>
        </w:rPr>
        <w:t>E. 7.5.2</w:t>
      </w:r>
    </w:p>
    <w:p>
      <w:r>
        <w:t>Den zu den Akten eingereichten Unterlagen (insbesondere Mitgliedsbestätigung der IDB, polizeiliche Bewilligungen für Standaktion, Flugblätter, Fotos des Beschwerdeführers an Standaktionen und Demonstrationsankündigungen) sind nicht zu entnehmen, dass sich der Beschwerdeführer bei den Kundgebungen oder bei der Organisation derselben besonders und über das Mass anderer iranischer Personen hinaus exponiert oder eine in der Öffentlichkeit herausragende Führungsposition innegehabt hätte (vgl. dazu BVGE 2009/28 E.7.4.3). Er verfügt, wie das BFM in seiner Vernehmlassung zu Recht ausführte, nicht über ein politisches Profil, das ihn bei einer Rückkehr in den Iran einer konkreten Gefährdung aussetzen würde. Dazu kommt, dass der Beschwerdeführer seine geltend gemachten Vorfluchtgründe, wie oben dargelegt, nicht glaubhaft gemacht hat, und dass demnach auch nicht davon auszugehen ist, er sei in seinem Heimatland als politischer Aktivist und Regimegegner bekannt. Es bestehen nach dem Gesagten keine hinreichenden Anhaltspunkte darauf, dass der Beschwerdeführer aufgrund seiner exilpolitischen Aktivitäten im Iran gefährdet sein sollte.</w:t>
      </w:r>
    </w:p>
    <w:p>
      <w:r>
        <w:rPr>
          <w:b/>
        </w:rPr>
        <w:t>E. 7.6</w:t>
      </w:r>
    </w:p>
    <w:p>
      <w:r>
        <w:t>Aus dem Gesagten ergibt sich, dass der Beschwerdeführer keine subjektiven Nachfluchtgründe darzulegen vermag.</w:t>
      </w:r>
    </w:p>
    <w:p>
      <w:r>
        <w:rPr>
          <w:b/>
        </w:rPr>
        <w:t>E. 8.1</w:t>
      </w:r>
    </w:p>
    <w:p>
      <w:r>
        <w:t>Das BFM hat dem Beschwerdeführer zu Recht die Flüchtlingseigenschaft nicht zuerkannt und das Asylgesuch abgewiesen.</w:t>
      </w:r>
    </w:p>
    <w:p>
      <w:r>
        <w:rPr>
          <w:b/>
        </w:rPr>
        <w:t>E. 8.2</w:t>
      </w:r>
    </w:p>
    <w:p>
      <w:r>
        <w:t>Lehnt das BFM das Asylgesuch ab oder tritt es darauf nicht ein, so verfügt es in der Regel die Wegweisung aus der Schweiz und ordnet den Vollzug an (Art. 44 AsylG).</w:t>
      </w:r>
    </w:p>
    <w:p>
      <w:r>
        <w:rPr>
          <w:b/>
        </w:rPr>
        <w:t>E. 8.3</w:t>
      </w:r>
    </w:p>
    <w:p>
      <w:r>
        <w:t>Der Beschwerdeführer besitzt keine Aufenthalts- oder Niederlas­sungsbewilligung oder einen entsprechenden Anspruch, weshalb die Vorinstanz gestützt auf Art. 44 AsylG zu Recht seine Wegweisung verfügt hat (vgl. EMARK 2001 Nr. 21). 9.1 Ist der Vollzug der Wegweisung nicht zulässig, nicht zumutbar oder nicht möglich, so regelt das Bundesamt das Anwesenheitsverhältnis nach den gesetzlichen Bestimmungen über die vorläufige Aufnahme von Ausländern (Art. 44 AsylG; Art. 83 Abs. 1 Ausländergesetz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BVGE 2011/24 E. 10.2). 9.2 9.2.1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9.2.2 Die Vorinstanz wies in ihrer angefochtenen Verfügung zutreffend darauf hin, dass das Prinzip des flüchtlingsrechtlichen Non-Refoulement nur Personen schützt, die die Flüchtlingseigenschaft erfüllen. Da der Beschwerdeführer keine asylrechtlich erhebliche Gefährdung nachzuweisen oder glaubhaft zu machen vermag, kann der in Art. 5 AsylG verankerte Grundsatz der Nichtrückschiebung im vorliegenden Verfahren keine Anwendung finden. Eine Rückkehr des Beschwerdeführers in den Iran ist demnach unter dem Aspekt von Art. 5 AsylG rechtmässig. Sodann ergeben sich weder aus seinen Aussagen noch aus den Akten Anhaltspunkte dafür, dass der Beschwerdeführer für den Fall einer Rückkehr in den Iran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[Grosse Kammer], Saadi gegen Italien, vom 28. Februar 2008, 37201/06, §§ 124 - 127, m.w.H.). Nachdem es dem Beschwerdeführer, wie oben dargelegt, nicht gelungen ist, eine Verfolgung glaubhaft zu machen, ist eine konkrete Gefahr künftig drohender Folter oder unmenschlicher Behandlung nicht dargetan. Auch die allgemeine Menschenrechtssituation im Iran lässt den Wegweisungsvollzug zum heutigen Zeitpunkt nicht als unzulässig erscheinen. Nach dem Gesagten ist der Vollzug der Wegweisung sowohl im Sinne der asyl- als auch der völkerrechtlichen Bestimmungen zulässig. 9.3 9.3.1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9.3.2 Im Iran herrscht zur Zeit weder Krieg oder Bürgerkrieg noch liegt eine Situation allgemeiner Gewalt vor. Zu prüfen ist jedoch, ob beim Beschwerdeführer allenfalls andere, individuelle Gründe vorliegen, die gegen die Zumutbarkeit eines Wegweisungsvollzugs sprechen. 9.3.3 Aufgrund der Aktenlage besteht keine Veranlassung zur Annahme, der Beschwerdeführer gerate im Fall einer Rückkehr in den Iran aus individuellen Gründen wirtschaftlicher, sozialer oder gesundheitlicher Natur in eine existenzbedrohende Situation, welche den Vollzug der Wegweisung zum heutigen Zeitpunkt als unzumutbar erscheinen liesse. Er gibt an, in Teheran ein Geschäft geführt zu haben, womit anzunehmen ist, ihm gelinge eine berufliche Wiedereingliederung in seinem Heimatland. Auch verfügt er mit seinen Eltern, vier Brüdern und zwei Schwestern (A6/10, Pt. 3.01) in seiner Heimat über ein breites und tragfähiges Beziehungsnetz. 9.3.4 Nach dem Gesagten erweist sich ein Wegweisungsvollzug des Beschwerdeführers in den Iran als zumutbar. 9.4 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w:t>
      </w:r>
    </w:p>
    <w:p>
      <w:r>
        <w:t>Zusammenfassend hat die Vorinstanz den Wegweisungsvollzug zu Recht als zulässig, zumutbar und möglich erachtet. Nach dem Gesagten fällt eine Anordnung der vorläufigen Aufnahme ausser Betracht (Art. 83 Abs. 1 - 4 AuG).</w:t>
      </w:r>
    </w:p>
    <w:p>
      <w:r>
        <w:rPr>
          <w:b/>
        </w:rPr>
        <w:t>E. 11</w:t>
      </w:r>
    </w:p>
    <w:p>
      <w:r>
        <w:t>Aus diesen Erwägungen ergibt sich, dass die angefochtene Verfügung Bundesrecht nicht verletzt, den rechtserheblichen Sachverhalt richtig und vollständig feststellt und auch sonst nicht zu beanstanden ist (Art. 106 AsylG). Die Beschwerde ist nach dem Gesagten abzuweisen.</w:t>
      </w:r>
    </w:p>
    <w:p>
      <w:r>
        <w:rPr>
          <w:b/>
        </w:rPr>
        <w:t>E. 12</w:t>
      </w:r>
    </w:p>
    <w:p>
      <w:r>
        <w:t>Bei diesem Ausgang des Verfahrens wären die Kosten in der Höhe von Fr. 600.- (Art. 1 - 3 des Reglements vom 21. Februar 2008 über die Kosten und Entschädigungen vor dem Bundesverwaltungsgericht [VGKE, SR 173.320.2]) dem Beschwerdeführer aufzuerlegen (Art. 63 Abs. 1 VwVG). Da ihm jedoch mit Verfügung vom 19. April 2013 die unentgeltliche Rechtspflege gemäss Art. 65 Abs. 1 VwVG gewährt wurde und aufgrund der Akten weiterhin von einer aktuellen Bedürftigkeit des Beschwerdeführers auszugehen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