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E-1928/2021 vom 20. Juni 2022</w:t>
      </w:r>
    </w:p>
    <w:p>
      <w:r>
        <w:t>Bundesverwaltungsgericht, 2022-06-20, DE</w:t>
      </w:r>
    </w:p>
    <w:p>
      <w:r>
        <w:rPr>
          <w:b/>
        </w:rPr>
        <w:t xml:space="preserve">Quelle: </w:t>
      </w:r>
      <w:r>
        <w:t>https://mcp.opencaselaw.ch/entscheid/bvger_E-1928_2021</w:t>
      </w:r>
    </w:p>
    <w:p>
      <w:r>
        <w:t>FR: TAF E-1928/2021 du 20 juin 2022</w:t>
      </w:r>
    </w:p>
    <w:p>
      <w:r>
        <w:t>IT: TAF E-1928/2021 del 20 giugno 2022</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 mungen zur Änderung des AsylG vom 25. September 2015).</w:t>
      </w:r>
    </w:p>
    <w:p>
      <w:r>
        <w:rPr>
          <w:b/>
        </w:rPr>
        <w:t>E. 1.2</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t>E-1928/2021 Seite 6</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(aArt. 108 Abs. 6 AsylG und Art. 52 Abs. 1 VwVG) ist einzutreten.</w:t>
      </w:r>
    </w:p>
    <w:p>
      <w:r>
        <w:rPr>
          <w:b/>
        </w:rPr>
        <w:t>E. 3.1</w:t>
      </w:r>
    </w:p>
    <w:p>
      <w:r>
        <w:t>Gegenstand des Beschwerdeverfahrens ist einzig der Vollzug der Weg- weisung. Die Dispositivziffern 1 (Verneinung der Flüchtlingseigenschaft), 2 (Asyl) und 3 (verfügte Wegweisung) der angefochtenen Verfügung sind mangels Anfechtung in Rechtskraft erwachsen.</w:t>
      </w:r>
    </w:p>
    <w:p>
      <w:r>
        <w:rPr>
          <w:b/>
        </w:rPr>
        <w:t>E. 3.2</w:t>
      </w:r>
    </w:p>
    <w:p>
      <w:r>
        <w:t>Die Kognition des Bundesverwaltungsgerichts und die zulässigen Rü- 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gelangte in der angefochtenen Verfügung zum Schluss, der Beschwerdeführer habe sich zu seiner Biographie, seinen Lebensum- ständen und Asylgründen widersprüchlich geäussert sowie gefälschte Be- weismittel eingereicht, was zu Zweifeln an seiner persönlichen Glaubwür- digkeit führe. In der BzP habe er angegeben, er habe zusammen mit seinem Vorgesetz- ten an der (…) in B._______ im Bundesstaat C._______ gewohnt. Auch zuvor habe er in B._______ gelebt. Anlässlich der Anhörung habe er im Widerspruch dazu ausgeführt, er habe seit seinem (…)zehnten Lebensjahr</w:t>
      </w:r>
    </w:p>
    <w:p>
      <w:r>
        <w:t>E-1928/2021 Seite 7 zusammen mit seiner Schwester und Freunden an der (…) in F._______ im Bundesstaat G._______ gewohnt. Auch habe er sich widersprüchlich zum Alter sowie zur Dauer des Zusammenlebens mit seiner Schwester ge- äussert. Weiter bleibe unklar, ob er der leibliche Vater des Sohnes seiner Ehefrau sei. Sodann habe er seine Homosexualität, die (…) und die daraus resultierende polizeiliche Suche nicht glaubhaft machen können. Ferner habe die Botschaftsabklärung ergeben, dass das eingereichte Geburtszer- tifikat, das Todeszertifikat des Vaters und der Beleg der polizeilichen Suche gefälscht seien. Zum Vollzug der Wegweisung führte die Vorinstanz aus, zwar seien Weg- weisungsvollzugshindernisse grundsätzlich von Amtes wegen zu prüfen. Diese Untersuchungspflicht finde aber ihre Grenze an der Mitwirkungs- und Wahrheitspflicht der asylsuchenden Person. Gemäss konstanter Recht- sprechung sei es nicht Aufgabe der Asylbehörden, bei fehlenden Hinwei- sen seitens der Asylsuchenden nach allfälligen Wegweisungsvollzugshin- dernissen zu forschen, falls diese ihrer Mitwirkungs- und Wahrheitspflicht im Rahmen der Sachverhaltsermittlung nicht nachkommen und die Asylbe- hörden zu täuschen versuchen. Wie bereits dargelegt, habe der Beschwer- deführer widersprüchliche Angaben zu seiner Biographie und seinen Le- bensumständen gemacht und mehrere gefälschte Beweismittel einge- reicht. Angesichts dessen müsse davon ausgegangen werden, dass er nicht bereit sei, wahrheitsgemäss über seine persönliche und familiäre Si- tuation in Nigeria Auskunft zu geben. Es sei dem SEM deshalb nicht mög- lich, sich in voller Kenntnis der tatsächlichen persönlichen und familiären Situation zum Vollzug der Wegweisung zu äussern. Weder den Akten noch seinen Aussagen seien Hinweise auf ernsthafte gesundheitliche Probleme zu entnehmen. Insgesamt erweise sich der Vollzug der Wegweisung als zulässig, zumutbar und möglich.</w:t>
      </w:r>
    </w:p>
    <w:p>
      <w:r>
        <w:rPr>
          <w:b/>
        </w:rPr>
        <w:t>E. 5.2</w:t>
      </w:r>
    </w:p>
    <w:p>
      <w:r>
        <w:t>In der Rechtmitteleingabe bringt der Beschwerdeführer im Wesentli- chen vor, die widersprüchlichen Angaben zu seinem Wohnort seien auf Verständigungsschwierigkeiten zurückzuführen. Vor seiner Ausreise habe er in F._______ im Bundesstaat G._______ gewohnt. Seine Schwester habe jeweils an den Wochenenden bei ihm gewohnt. Die eingereichten Beweismittel seien echt. Es sei aber gut möglich, dass die nigerianischen Mitarbeiter der Schweizer Botschaft dem SEM falsche Informationen zu den Dokumenten gegeben hätten. Schliesslich seien seine Aussagen zur Homosexualität und zur (…) sowie der anschliessenden polizeilichen Su- che nicht stereotyp ausgefallen.</w:t>
      </w:r>
    </w:p>
    <w:p>
      <w:r>
        <w:t>E-1928/2021 Seite 8</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6.2</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keine Anwendung finden. Eine Rückkehr des Beschwerdeführers nach Nigeria ist demnach unter dem As- pekt von Art. 5 AsylG rechtmässig. Sodann ergeben sich weder aus den Aussagen des Beschwerdeführers noch aus den Akten Anhaltspunkte dafür, dass er für den Fall einer Aus- schaffung nach Nigeria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Nigeria lässt den</w:t>
      </w:r>
    </w:p>
    <w:p>
      <w:r>
        <w:t>E-1928/2021 Seite 9 Wegweisungsvollzug zum heutigen Zeitpunkt nicht als unzulässig erschei- nen. Der Vollzug der Wegweisung erweist sich sowohl im Sinne der asyl- als auch der völkerrechtlichen Bestimmungen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6.4</w:t>
      </w:r>
    </w:p>
    <w:p>
      <w:r>
        <w:t>Mit der Vorinstanz ist festzustellen, dass sich der Beschwerdeführer zu seiner Biographie und seinen Lebensumständen in Nigeria widersprüchlich geäussert sowie gefälschte Beweismittel eingereicht hat, womit seine per- sönliche Glaubwürdigkeit in Frage gestellt ist. Infolge dieser groben Verlet- zung der Mitwirkungspflicht ist es weder dem SEM noch dem Gericht mög- lich, sich in voller Kenntnis der tatsächlichen persönlichen und familiären Situation zur Zumutbarkeit des Wegweisungsvollzuges zu äussern. An die- ser Einschätzung vermögen die Ausführungen in der Rechtsmitteleingabe nichts zu ändern. Die Widersprüche betreffend den Wohnort lassen sich nicht mit Verständigungsschwierigkeiten erklären, zumal den Protokollen keine Hinweise für solche zu entnehmen sind. Ferner bestätigte der Be- schwerdeführer mit seiner Unterschrift, dass die Protokolle in eine ihm ver- ständliche Sprache rückübersetzt wurden und seinen freien Äusserungen entsprechen, womit er sich bei seinen Aussagen zu behaften lassen hat. Im Übrigen hat er sich auch betreffend die Anzahl in Nigeria wohnhafter Verwandter unvereinbar geäussert (vgl. A7/12 Ziff. 3.01 und A41/31 F28 ff.). Das Vorbringen, die nigerianischen Mitarbeiter der Schweizer Botschaft hätten der Vorinstanz betreffend die eingereichten Beweismittel falsche In- formationen gegeben, ist als Schutzbehauptung zu werten. Um Wiederho- lungen zu vermeiden, kann vollumfänglich auf die zutreffenden Erwägun- gen der Vorinstanz in der angefochtenen Verfügung verwiesen werden. Auf die Ausführungen in der Beschwerde zur Glaubhaftigkeit der Asylvorbrin- gen ist nicht weiter einzugehen. Der Vollzug der Wegweisung erweist sich als zumutbar.</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E-1928/2021 Seite 10</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abzuweisen.</w:t>
      </w:r>
    </w:p>
    <w:p>
      <w:r>
        <w:rPr>
          <w:b/>
        </w:rPr>
        <w:t>E. 8</w:t>
      </w:r>
    </w:p>
    <w:p>
      <w:r>
        <w:t>Der Beschwerdeführer beantragt die Gewährung der unentgeltlichen Pro- zessführung gemäss Art. 65 Abs. 1 VwVG. Da seine Begehren unter Be- rücksichtigung des Verfahrens seiner Ehefrau und Tochter (E-1942/2021) nicht zum Vornherein als aussichtslos bezeichnet werden konnten und von seiner Mittelosigkeit auszugehen ist, ist das Gesuch um Gewährung der unentgeltlichen Prozessführung gutzuheissen. Es sind keine Verfahrens- kosten zu erheben.</w:t>
      </w:r>
    </w:p>
    <w:p>
      <w:r>
        <w:t>(Dispositiv nächste Seite)</w:t>
      </w:r>
    </w:p>
    <w:p>
      <w:r>
        <w:t>E-1928/2021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