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E-1925/2021 vom 22. September 2025</w:t>
      </w:r>
    </w:p>
    <w:p>
      <w:r>
        <w:t>Bundesverwaltungsgericht, 2025-09-22, FR</w:t>
      </w:r>
    </w:p>
    <w:p>
      <w:r>
        <w:rPr>
          <w:b/>
        </w:rPr>
        <w:t xml:space="preserve">Quelle: </w:t>
      </w:r>
      <w:r>
        <w:t>https://mcp.opencaselaw.ch/entscheid/bvger_E-1925_2021</w:t>
      </w:r>
    </w:p>
    <w:p>
      <w:r>
        <w:t>FR: TAF E-1925/2021 du 22 septembre 2025</w:t>
      </w:r>
    </w:p>
    <w:p>
      <w:r>
        <w:t>IT: TAF E-1925/2021 del 22 settembre 2025</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des présents litiges. Il statue de manière définitive (cf. art. 83 let. d ch. 1 LTF [RS 173.110]).</w:t>
      </w:r>
    </w:p>
    <w:p>
      <w:r>
        <w:rPr>
          <w:b/>
        </w:rPr>
        <w:t>E. 1.2</w:t>
      </w:r>
    </w:p>
    <w:p>
      <w:r>
        <w:t>Les recourants ont qualité pour recourir (cf. art. 48 al. 1 PA). Présentés dans la forme (cf. art. 52 al. 1 PA) et le délai (cf. art. 108 al. 2 LAsi) prescrits par la loi, les recours sont recevables.</w:t>
      </w:r>
    </w:p>
    <w:p>
      <w:r>
        <w:rPr>
          <w:b/>
        </w:rPr>
        <w:t>E. 1.3</w:t>
      </w:r>
    </w:p>
    <w:p>
      <w:r>
        <w:t>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2.2.2</w:t>
      </w:r>
    </w:p>
    <w:p>
      <w:r>
        <w:t>De jurisprudence constante, les événements qui constituent des motifs d'asile essentiels doivent être évoqués, au moins dans les grandes lignes, au centre d'enregistrement et de procédure déjà : leur omission lors de l'audition sommaire peut être retenue défavorablement dans l'appréciation de la vraisemblance des déclarations ultérieures lors de l'audition sur les motifs d'asile (cf. JICRA 1998 no 4 consid. 5, JICRA 1993 no 3).</w:t>
      </w:r>
    </w:p>
    <w:p>
      <w:r>
        <w:rPr>
          <w:b/>
        </w:rPr>
        <w:t>E. 2.2.3</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2.2.3.1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2.2.3.2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2.2.3.3</w:t>
      </w:r>
    </w:p>
    <w:p>
      <w:r>
        <w:t>Dans l'ATAF 2009/28 (consid. 7, spéc. consid. 7.3.2.1 et 7.3.3 à 7.3.5), le Tribunal a procédé à une analyse de la situation des musulmans convertis à l'étranger au christianisme. Il a observé qu'il n'était pas rare que ces conversions soient dictées par la volonté des nouveaux baptisés d'obtenir, par ce biais, la possibilité de rester en Suisse. Lorsqu'une conversion en Suisse a eu lieu pour des motifs opportunistes, il n'y avait pas lieu de craindre de sérieux préjudices en cas de retour en Iran. Il en était de même lorsqu'une conversion, bien que sincère, conduisait à une pratique en privé et discrète des règles religieuses. En effet, certes, selon le droit islamique (charia) appliqué en Iran, l'abandon de l'islam pour une autre religion était considéré comme un blasphème et passible de la peine de mort. En pratique toutefois, les convertis ne subissaient pas de persécutions systématiques. L'exercice discret et en privé de la religion chrétienne était en principe possible en Iran. Toutefois, même dans ce cas de figure, lorsque l'apostat avait dans son entourage familial des proches adeptes d'une forme fanatique et extrémiste de l'islam, il fallait encore tenir compte du fait qu'il encourrait un risque de dénonciation aux services de sécurité de son pays ou d'être la cible d'attaques de ces proches sans pouvoir compter sur une protection des autorités iraniennes. Dans la règle, seules les personnes qui exerçaient une activité importante au sein de leur église ou qui se livraient au prosélytisme faisaient face à une crainte objectivement fondée de persécution par les autorités iraniennes. Cette jurisprudence demeure d'actualité, en l'absence d'une amélioration de la situation de la minorité chrétienne et des apostats en Iran (cf. arrêt du TAF D-4795/2016 et D-4798/2016 du 15 mars 2019 consid. 6.2).</w:t>
      </w:r>
    </w:p>
    <w:p>
      <w:r>
        <w:rPr>
          <w:b/>
        </w:rPr>
        <w:t>E. 3.1</w:t>
      </w:r>
    </w:p>
    <w:p>
      <w:r>
        <w:t>En l'espèce, il s'agit d'examiner si c'est à bon droit que le SEM a estimé invraisemblables les allégations des recourants sur leurs motifs de fuite d'Iran et dénuée de fondement objectif leur crainte d'être persécutés en cas de retour dans ce pays.</w:t>
      </w:r>
    </w:p>
    <w:p>
      <w:r>
        <w:rPr>
          <w:b/>
        </w:rPr>
        <w:t>E. 3.2</w:t>
      </w:r>
    </w:p>
    <w:p>
      <w:r>
        <w:t>Comme l'admet à juste titre l'intéressé dans son recours, son récit est divergent sur la manière dont il a pris connaissance de l'ordre de (...) en 2009 à l'origine de son refus (ordre reçu ou entendu). Or, contrairement à ce qu'il soutient, cette divergence de son récit porte sur un point essentiel de ses motifs d'asile. En effet, est en cause la description de l'évènement qui serait à l'origine de sa première condamnation par un tribunal (...). Qui plus est, sa description du refus à l'origine de sa condamnation est également divergente de celle qu'en a faite son épouse lors de sa première audition (selon celle-ci, refus de son époux de donner certains ordres [...]). Les allégations du recourant sur la condamnation prononcée à son encontre pour ce motif par ledit tribunal sont également inconstantes d'une audition à l'autre. En effet, il a omis de mentionner sa prétendue condamnation à (...) lors de sa première audition. Pourtant, l'exécution d'une telle sanction peut être qualifiée de torture. Ses allégations sont également inconstantes quant aux dénommés I._______ et K._______. En effet, il a décrit ceux-ci tantôt comme deux (...) envoyés en I._______ pour les punir pour leurs convictions religieuses, tantôt comme des personnes mortes (...) en I._______ ayant comme lui (...) à l'entente de l'ordre (...). En outre, il apparaît effectivement incohérent que le recourant ait pu conserver un logement de fonction à L._______ et ainsi pu continuer de passer (...) dans cet endroit (...), malgré le fait (...) et qu'il n'ait plus été affecté à (...) depuis la même année. Il ne paraît guère crédible qu'il ait été sanctionné par l'interdiction du port de (...). En effet, il aurait prétendument toujours porté (...). En outre, (...), les allégations du recourant sur (...) n'apparaissent pas cohérentes. Les allégations du recourant sur les tâches subalternes effectuées durant lesdites années (...), sur le développement d'un intérêt pour le christianisme durant celles-ci en lien avec des lectures sur internet, sur les sources consultées à ce sujet, sur la délation dont il aurait été victime et sur les faits concrets qui lui ont été reprochés par le tribunal (...) dans le cadre de son second procès sont vagues. Le revirement du recourant quant à la profondeur de ses convictions religieuses, puisqu'il a affirmé tantôt être chrétien depuis cinq ans lors de son audition du 10 décembre 2018, tantôt être encore insuffisamment informé sur le christianisme pour se convertir lors de son audition du 15 octobre 2020, renforce les doutes quant à sa prétendue condamnation en Iran pour son attrait pour le christianisme. Les allégations du recourant sur ses conditions de détention et de vie durant sa détention du (...) 2016 ([...] 1395) sont dénuées des détails significatifs d'une expérience vécue. Elles sont effectivement divergentes s'agissant du caractère complet ou non des confidences faites à son épouse en Iran concernant ses conditions de détention et les tortures endurées. Le silence de la recourante lors de son audition sommaire du 9 août 2016 au sujet de cette condamnation et détention du recourant dans une prison (...), alors qu'elle en aurait été informée par son époux en Iran la même année, plaide également en défaveur de la vraisemblance des allégations à ce sujet. L'explication fournie à ce silence consistant dans la crainte de la recourante d'une divulgation de ces faits à ses filles n'est pas convaincante.</w:t>
      </w:r>
    </w:p>
    <w:p>
      <w:r>
        <w:rPr>
          <w:b/>
        </w:rPr>
        <w:t>E. 3.3</w:t>
      </w:r>
    </w:p>
    <w:p>
      <w:r>
        <w:t>Les allégations des recourants sont certes convergentes quant au refus du recourant de l'ordre (...) reçu le (...) 2016. Toutefois, les dates des (...) auxquelles les passeports ont été délivrés à la recourante et à ses filles, soit durant (...), permettent de douter sérieusement de la prise de décision précipitée de leur départ du pays ultérieurement à la notification de cet ordre (...). Qui plus est, en cas de renouvellement, le numéro de l'ancien passeport est indiqué en dernière page du nouveau (cf. Landinfo - Norwegian Country of Origin Information Centre, Report, Iran : Passports, ID and civil status documents, 5 janvier 2021, p. 28, https://www.ecoi.net/en/file/local/2044494/Iran-Passports-ID-and-civil-status-documnents-05012021.pdf [consulté le 19.9.2025]). Or, la dernière page du passeport de la recourante ne contient pas le numéro de l'ancien. Il n'est dès lors pas plausible qu'il se soit agi d'un renouvellement de son passeport à son échéance, contrairement aux allégations des recourants. De plus, les allégations du recourant sur son vécu en cachette dans la ville de M._______ depuis le (...) 2016 jusqu'à son départ d'Iran le (...) 2018 sont dénuées des détails significatifs d'une expérience vécue. Contrairement à son argumentation dans son recours, le SEM n'était pas tenu de le questionner davantage à ce sujet. Ses allégations sur les raisons pour lesquelles son hôte aurait accepté de l'héberger à son domicile durant tout ce temps alors qu'il aurait été recherché par le G._______ sont imprécises. A cela s'ajoute que ses allégations sur les démarches effectuées en vue de la délivrance de son passeport le (...) et du visa Schengen le (...) 2018 sont inconstantes. Le fait que le recourant ait d'abord nié avoir déposé une demande de visa avant d'être confronté par le SEM aux informations à sa disposition, puis nié s'être présenté personnellement à cet effet avant d'admettre s'être rendu à S._______ pour le relevé de ses empreintes digitales lui fait perdre en crédibilité personnelle. Comme l'a relevé le SEM, l'affirmation du recourant sur la falsification des pièces jointes à sa demande de visa concernant son compte bancaire et son emploi (...) n'est aucunement étayée par pièces. La photographie d'identité figurant sur le permis de conduire iranien du recourant, délivré en (...), ne correspond pas à celle figurant sur le passeport de celui-ci, contrairement à ses déclarations lors de son audition du 15 octobre 2020. Elle ne correspond pas non plus à celle figurant sur sa demande de visa. Au regard de l'année de délivrance de ce permis de conduire, il n'est pas crédible que les clichés photographiques pris à l'époque aient servi en (...), soit (...) ans plus tard, pour l'établissement du passeport. En effet, les photographies d'identité doivent être récentes, l'image faciale étant l'élément biométrique principal d'un document de voyage lisible à la machine comme celui délivré au recourant (cf. Organisation de l'aviation civile internationale, Doc 9303, Documents de voyage lisibles à la machine, Huitième édition 2021, Partie 9 : Déploiement de l'identification biométrique et stockage électronique des données dans les DVLM, ch. 4.1 p. 9, https://www.icao.int/publications/ documents/9303_p9_cons_fr.pdf [consulté le 19.9.2025]). Pour le reste, la durée de validité ordinaire des passeports des recourants et de leurs filles permet de douter de leurs allégations sur la nécessité pour chacun d'eux d'obtenir une autorisation de sortie d'Iran. En effet, selon les informations à disposition du Tribunal, les personnes nécessitant de telles autorisations se voient délivrer un passeport valable uniquement une journée (cf. Landinfo - Norwegian Country of Origin Information Centre, op. cit., p. 28). Enfin, si le recourant avait véritablement conservé son (...), disposé de renseignements stratégiques au sujet de (...) et été recherché par le G._______ pour son refus d'un ordre (...) le (...) 2016 au moment de son départ d'Iran le (...), tout porte à croire qu'il se serait vu imposer une interdiction de voyager et qu'il n'aurait pas pu passer le contrôle d'identité de l'aéroport. En effet, le passeport biométrique avec lequel il a voyagé comporte ses véritables données d'identité. Enfin, en tant qu'il aurait été (...) qui venait de (...), il n'est guère crédible qu'il ait été appelé à se rendre à T._______ en I._______ pour (...). Bien qu'il affirme l'inverse dans son recours, ses allégations sur le temps écoulé entre le jour de la réception de (...) et celui de son départ définitif de son logement de fonction à L._______ sont effectivement inconstantes (tantôt 3 à 4 jours, tantôt le même jour). Pour le reste, les allégations des recourants du 23 mai 2024 sur l'incarcération du frère aîné du recourant, AA._______, au début de l'année 2022, à sa libération sous caution avant sa réincarcération avec le maintien du retour du recourant en Iran comme condition à sa libération n'emportent pas la conviction. En effet, l'attente par les autorités iraniennes de plus de cinq ans (...) après le prétendu refus de (...) le (...) 2016 pour procéder à une telle arrestation n'est pas compréhensible.</w:t>
      </w:r>
    </w:p>
    <w:p>
      <w:r>
        <w:rPr>
          <w:b/>
        </w:rPr>
        <w:t>E. 3.4</w:t>
      </w:r>
    </w:p>
    <w:p>
      <w:r>
        <w:t>Enfin, les pièces produites concernant le parcours professionnel du recourant au sein du G._______ sont de nature à étayer ses allégations à ce sujet jusqu'en 2007, mais pas au-delà. Pour le reste, les pièces médicales au dossier sont impropres à étayer les allégations du recourant sur l'origine de ses troubles de santé ou cicatrices. En effet, elles comportent pour toute indication le degré de cohérence des troubles de santé et cicatrices constatés avec leur origine alléguée et la mention de la compatibilité de la (...) avec l'exposition répétée à des explosions associée aux coups reçus. En outre, contrairement à ce qu'il est soutenu dans le recours, plusieurs allégations de faits rapportées dans l'anamnèse du rapport médical du 23 septembre 2020 divergent de celles faites devant le SEM sur des points essentiels. Il s'agit par exemple de la mention dans ladite anamnèse de la (...) comme lieu de détention du recourant préalablement à sa présentation à la juridiction (...) l'ayant condamné à cinq ans (...) pour (...) en 2009 ou encore de la mention de sa rencontre à R._______ durant ces années (...) avec un religieux chrétien lui ayant procuré une bible à lire en cachette.</w:t>
      </w:r>
    </w:p>
    <w:p>
      <w:r>
        <w:rPr>
          <w:b/>
        </w:rPr>
        <w:t>E. 3.5</w:t>
      </w:r>
    </w:p>
    <w:p>
      <w:r>
        <w:t>Au vu de ce qui précède, c'est à bon droit que le SEM a estimé invraisemblables les allégations du recourant sur ses motifs de fuite et dénuée de fondement objectif sa crainte d'être persécuté pour ces motifs en cas de retour en Iran. La crainte de la recourante d'être exposée à une persécution réflexe n'est dès lors pas non plus objectivement fondée. A noter encore que, même s'il avait fallu admettre leur vraisemblance, les allégations du recourant sur les sérieux préjudices subis en 2009 pour son refus (...) (interrogatoire sous la torture et condamnation à [...]) ne seraient pas en elles-mêmes pertinentes au sens de l'art. 3 LAsi. En effet, lesdits préjudices ne se trouvent pas dans un rapport de causalité temporel avec son départ d'Iran, le (...) 2018.</w:t>
      </w:r>
    </w:p>
    <w:p>
      <w:r>
        <w:rPr>
          <w:b/>
        </w:rPr>
        <w:t>E. 3.6</w:t>
      </w:r>
    </w:p>
    <w:p>
      <w:r>
        <w:t>Pour le reste, les recourants ne se sont pas convertis en Suisse. Au regard de la jurisprudence précitée (cf. consid. 2.2.3.3), leur fréquentation occasionnelle d'une église (...) et leur participation à quelques activités (...) pour celle-ci ne suffit pas à admettre une crainte objectivement fondée de leur part au sens de l'art. 3 LAsi d'être exposés à une persécution en cas de retour en Iran. Il en va de même de leur participation à quelques manifestations du (...) en Suisse.</w:t>
      </w:r>
    </w:p>
    <w:p>
      <w:r>
        <w:rPr>
          <w:b/>
        </w:rPr>
        <w:t>E. 3.7</w:t>
      </w:r>
    </w:p>
    <w:p>
      <w:r>
        <w:t>Il s'ensuit que les recours, en tant qu'ils contestent le refus de reconnaissance de la qualité de réfugié aux recourants et le rejet de leurs demandes d'asile, doivent être rejetés et les décisions attaquées être confirmées sur ces points.</w:t>
      </w:r>
    </w:p>
    <w:p>
      <w:r>
        <w:rPr>
          <w:b/>
        </w:rPr>
        <w:t>E. 4</w:t>
      </w:r>
    </w:p>
    <w:p>
      <w:r>
        <w:t>Lorsqu'il rejette la demande d'asile, le SEM prononce, en règle générale, le renvoi de Suisse et en ordonne l'exécution ; il tient compte du principe de l'unité de la famille (cf. art. 44 in initio LAsi). Aucune des conditions de l'art. 32 de l'ordonnance 1 sur l'asile du 11 août 1999 (OA 1, RS 142.311) n'étant réalisée, en l'absence notamment d'un droit des recourants à une autorisation de séjour ou d'établissement (nonobstant l'autorisation de séjour octroyée à chacune de leurs filles majeures), le Tribunal est tenu, de par la loi, de confirmer leur renvoi. Partant, les recours sont sur ce point également rejetés.</w:t>
      </w:r>
    </w:p>
    <w:p>
      <w:r>
        <w:rPr>
          <w:b/>
        </w:rPr>
        <w:t>E. 5</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(cf. consid. 6), raisonnablement exigible (cf. consid. 7) et possible (cf. consid. 8).</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6.3</w:t>
      </w:r>
    </w:p>
    <w:p>
      <w:r>
        <w:t>En l'espèce, l'exécution du renvoi ne contrevient pas au principe de non-refoulement de l'art. 5 LAsi, les recourants n'ayant pas rendu vraisemblable qu'ils seraient, en cas de retour dans leur pays d'origine, exposés à de sérieux préjudices au sens de l'art. 3 LAsi (cf. supra).</w:t>
      </w:r>
    </w:p>
    <w:p>
      <w:r>
        <w:rPr>
          <w:b/>
        </w:rPr>
        <w:t>E. 6.4</w:t>
      </w:r>
    </w:p>
    <w:p>
      <w:r>
        <w:t>Il sied ensuite d'examiner si l'exécution du renvoi contrevient à l'art. 3 CEDH.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(cf. consid. 3), les recourants ne démontrent pas à satisfaction de droit qu'il existerait pour eux un risque réel, fondé sur des motifs sérieux et avérés, d'être victimes de torture ou encore d'une peine ou d'un traitement inhumain ou dégradant au sens de l'art. 3 CEDH ou de l'art. 3 Conv. torture en cas d'exécution du renvoi dans leur pays d'origine.</w:t>
      </w:r>
    </w:p>
    <w:p>
      <w:r>
        <w:rPr>
          <w:b/>
        </w:rPr>
        <w:t>E. 6.5</w:t>
      </w:r>
    </w:p>
    <w:p>
      <w:r>
        <w:t>Dès lors, l'exécution du renvoi des recourants sous forme de refoulement ne transgresse aucun engagement de la Suisse relevant du droit international, de sorte qu'elle s'avère licite au sens de l'art. 83 al. 3 LEI a contrario.</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Conformément à la jurisprudence du Tribunal,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S'agissant plus spécifiquement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7.3</w:t>
      </w:r>
    </w:p>
    <w:p>
      <w:r>
        <w:t>En l'espèce,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récente guerre Iran-Israël ne permet pas d'admettre le contraire, compte tenu du cessez-le-feu en vigueur depuis le 24 juin 2025.</w:t>
      </w:r>
    </w:p>
    <w:p>
      <w:r>
        <w:rPr>
          <w:b/>
        </w:rPr>
        <w:t>E. 7.4</w:t>
      </w:r>
    </w:p>
    <w:p>
      <w:r>
        <w:t>A ce stade, il y a lieu d'examiner si le renvoi des recourants met l'un ou l'autre d'entre eux concrètement en danger pour cas de nécessité médicale.</w:t>
      </w:r>
    </w:p>
    <w:p>
      <w:r>
        <w:rPr>
          <w:b/>
        </w:rPr>
        <w:t>E. 7.4.1</w:t>
      </w:r>
    </w:p>
    <w:p>
      <w:r>
        <w:t>Selon les pièces médicales produites par les recourants le 23 mai 2024 (cf. Faits let. V.), le recourant s'est vu diagnostiquer un état de stress post-traumatique complexe, (...). Lui étaient prescrits une médication de type antidépresseur, anxiolytique, urologique et antihypertenseur, ainsi que le port d'un (...). Il nécessitait un suivi en médecine générale (mensuel), en psychiatrie et psychothérapie, en pneumologie (annuel) et en urologie (biannuel). La recourante s'est vue prescrire un antalgique et des séances de physiothérapie bimensuelles en raison (...), ainsi qu'un régime pauvre (...). Elle nécessitait un suivi mensuel en médecine générale et de soutien psychologique en raison d'un trouble dépressif récurrent, épisode actuel modéré, sans symptômes psychotiques. Elle nécessitait également un suivi gynécologique semestriel et néphrologique annuel. Au regard de ces faits médicaux et en l'absence d'annonce de la part des recourants quant à la survenance d'une évolution substantielle de leur situation médicale depuis mai 2024, il n'y a pas lieu de leur impartir un délai pour produire des rapports médicaux actualisés. En cas de retour en Iran, ils ne devraient pas connaître des difficultés insurmontables pour accéder à des soins essentiels pour leurs problèmes de santé précités. En effet, des soins en psychiatrie, pneumologie, cardiologie, urologie, gynécologie et néphrologie sont disponibles dans ce pays (cf. UK Home Office, Country Information Note, Iran: Healthcare and medical treatment, Version 2.0, June 2024, spéc. chap. 5.2, 12, 16, 19.1.4 et 25, https://www.ecoi.net/en/file/local/2112332/IRN [consulté le 19.9.2025]). Certes, comme l'a relevé le SEM, des pénuries sont signalées sur le marché iranien des médicaments avec une situation particulièrement critique pour les patients atteints de maladies rares. Toutefois, les problèmes de santé des recourants ne peuvent pas être qualifiés de rares. En outre, leur provenance d'une famille aisée et citadine est de nature à leur faciliter l'accès à des soins essentiels à leur retour en Iran.</w:t>
      </w:r>
    </w:p>
    <w:p>
      <w:r>
        <w:rPr>
          <w:b/>
        </w:rPr>
        <w:t>E. 7.4.2</w:t>
      </w:r>
    </w:p>
    <w:p>
      <w:r>
        <w:t>Au vu de ce qui précède, le renvoi des recourants en Iran ne les met pas concrètement en danger pour cas de nécessité médicale. Il n'y a pas non plus d'autres facteurs de mise en danger concrète les concernant.</w:t>
      </w:r>
    </w:p>
    <w:p>
      <w:r>
        <w:rPr>
          <w:b/>
        </w:rPr>
        <w:t>E. 7.5</w:t>
      </w:r>
    </w:p>
    <w:p>
      <w:r>
        <w:t>Au vu de ce qui précède, l'exécution du renvoi est raisonnablement exigible au sens de l'art. 83 al. 4 LEI a contrario.</w:t>
      </w:r>
    </w:p>
    <w:p>
      <w:r>
        <w:rPr>
          <w:b/>
        </w:rPr>
        <w:t>E. 8</w:t>
      </w:r>
    </w:p>
    <w:p>
      <w:r>
        <w:t>Chacun des recourants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Au vu de ce qui précède, l'exécution du renvoi des recourants est conforme aux dispositions légales. Par conséquent, les recours doivent également être rejetés sur ce point et les décisions ordonnant l'exécution du renvoi être confirmées.</w:t>
      </w:r>
    </w:p>
    <w:p>
      <w:r>
        <w:rPr>
          <w:b/>
        </w:rPr>
        <w:t>E. 10.1</w:t>
      </w:r>
    </w:p>
    <w:p>
      <w:r>
        <w:t>Il n'est pas perçu de frais de procédure, dès lors que les recourants ont été dispensés de leur paiement par décision incidente de la juge instructeur du 10 juin 2021 (cf. Faits, let. S.) et qu'ils sont toujours indigents. Les recourants ayant succombé dans leurs conclusions, le Tribunal doit verser à leur mandataire d'office une indemnité à titre d'honoraires et de débours pour les frais nécessaires occasionnés par le litige (cf. art. 110a aLAsi, art. 8 al. 2 FITAF en relation avec l'art. 12 FITAF). Cette indemnité est fixée sur la base des notes d'honoraires des 30 avril et 10 août 2021, comptabilisant un total de 16,5 heures de travail. Le tarif horaire indiqué dans ces notes n'est pas justifié dans son ampleur. En effet, comme indiqué dans la décision incidente de la juge instructeur du 10 juin 2021, il est, dans la règle adoptée par la pratique en matière d'asile, fixé dans le cadre de la fourchette de 100 à 150 francs pour les représentants ne bénéficiant pas du brevet d'avocat (cf. art. 12 en rapport avec l'art. 10 al. 2 FITAF). Par conséquent, il est réduit de 200 francs à 150 francs. Au vu du dossier, il y a lieu de retenir une heure de travail pour les actes ultérieurs au 10 août 2021. Ainsi, l'indemnité est arrêtée à un montant de 2'625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