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E-1920/2011 vom 28. April 2011</w:t>
      </w:r>
    </w:p>
    <w:p>
      <w:r>
        <w:t>Bundesverwaltungsgericht, 2011-04-28, DE</w:t>
      </w:r>
    </w:p>
    <w:p>
      <w:r>
        <w:rPr>
          <w:b/>
        </w:rPr>
        <w:t xml:space="preserve">Quelle: </w:t>
      </w:r>
      <w:r>
        <w:t>https://mcp.opencaselaw.ch/entscheid/bvger_E-1920_2011</w:t>
      </w:r>
    </w:p>
    <w:p>
      <w:r>
        <w:t>FR: TAF E-1920/2011 du 28 avril 2011</w:t>
      </w:r>
    </w:p>
    <w:p>
      <w:r>
        <w:t>IT: TAF E-1920/2011 del 28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Bundesverwaltungsgericht verzichtet aus prozessökonomischen Gründen auf eine Rückweisung der englischsprachigen Beschwerde zur Übersetzung in eine Amtssprache, da die (sinngemässen) Rechtsmittelanträge verständlich sowie begründet sind. Der vorliegende Entscheid ergeht indessen in deutscher Sprache (vgl. Art. 33a Abs. 2 VwVG i.V.m.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Die Schweizerische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(Art. 20 Abs. 1 und 2 AsylG).</w:t>
      </w:r>
    </w:p>
    <w:p>
      <w:r>
        <w:rPr>
          <w:b/>
        </w:rPr>
        <w:t>E. 4.2</w:t>
      </w:r>
    </w:p>
    <w:p>
      <w:r>
        <w:t>Vorliegend wurde von Seiten der schweizerischen Vertretung in Colombo aus Kapazitätsgründen auf die Durchführung einer Befragung verzichtet und das schriftliche Gesuch des Beschwerdeführers direkt ans BFM überwiesen. In der Folge gelangte das BFM nach Prüfung der Akten zum Schluss, der entscheidrelevante Sachverhalt sei bereits aufgrund der schriftlichen Begründung des Asylgesuches und der eingereichten ausführlichen Dokumentation als erstellt zu erachten. Über diesen Schluss wurde der Beschwerdeführer mit Schreiben des BFM vom 16. November 2010 in Kenntnis gesetzt, wobei er - zwecks Wahrung des rechtlichen Gehörs - vom BFM gleichzeitig zur Stellungnahme eingeladen wurde. Dabei wurde ihm vom BFM eröffnet, dass eine Abweisung des Asylgesuchs in Erwägung gezogen werde, unter gleichzeitiger Bekanntgabe der entsprechenden Gründe (kein notwendiger Schutz im asylrechtlichen Sinn). Der Beschwerdeführer hat am 13. Dezember 2010 von der Möglichkeit zur Stellungnahme Gebrauch gemacht. Vor dem Hintergrund der massgeblichen Praxis zur Behandlung von Asylgesuchen aus dem Ausland und Einreisebewilligung sowie unter Berücksichtigung der gesamten Aktenlage ist festzustellen, dass in vorliegender Sache auf eine Befragung des Beschwerdeführers verzichtet werden durfte und dass mit der Einladung zur Stellungnahme vom 16. November 2010 den massgeblichen verfahrensrechtlichen Anforderungen Genüge getan wurde (vgl. dazu BVGE 2007/30, E 5.6 ff.).</w:t>
      </w:r>
    </w:p>
    <w:p>
      <w:r>
        <w:rPr>
          <w:b/>
        </w:rPr>
        <w:t>E. 5.1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ist mit anderen Worten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E.4.2 mit weiteren Hinweisen).</w:t>
      </w:r>
    </w:p>
    <w:p>
      <w:r>
        <w:rPr>
          <w:b/>
        </w:rPr>
        <w:t>E. 5.2</w:t>
      </w:r>
    </w:p>
    <w:p>
      <w:r>
        <w:t>Das BFM führte zur Begründung im Wesentlichen aus, die geltend gemachten Ereignisse von 1997 bis 2002 (Inhaftierung durch die LTTE und die srilankische Polizei) seien bereits Gegenstand des ersten Asylgesuches gewesen; diese seien als einreiseunbeachtlich erachtet worden und eine begründete Furcht vor Verfolgung sei verneint worden, weshalb es sich nicht nochmals mit diesen Gründen auseinandersetze. Die aktuell geltend gemachten Probleme (mehrmalige Befragungen bei der Polizei, sowie die Aufforderung der indisch-stämmigen Tamilen, nach Batticaloa zurückzukehren) seien sicher für den Beschwerdeführer unangenehm, doch hätten sie aufgrund der fehlenden Intensität keinen Verfolgungscharakter. Sein politisches Profil sei unzureichend, um zum jetzigen Zeitpunkt einreiserelevante Schwierigkeiten befürchten zu müssen.</w:t>
      </w:r>
    </w:p>
    <w:p>
      <w:r>
        <w:rPr>
          <w:b/>
        </w:rPr>
        <w:t>E. 5.3</w:t>
      </w:r>
    </w:p>
    <w:p>
      <w:r>
        <w:t>Der Beschwerdeführer führte zur Begründung seiner Beschwerde aus, er werde erneut verdächtigt, in terroristische Aktivitäten involviert zu sein, weshalb er nicht mehr an der früheren Adresse wohnen könne und sich und seine Familie in Sicherheit habe bringen müssen. Er, seine Frau und Tochter würden sich nun in einem Tempel im "Tea Estate" verstecken. Es werde von der Polizei immer im Auge behalten.</w:t>
      </w:r>
    </w:p>
    <w:p>
      <w:r>
        <w:rPr>
          <w:b/>
        </w:rPr>
        <w:t>E. 5.4</w:t>
      </w:r>
    </w:p>
    <w:p>
      <w:r>
        <w:t>Vorab ist festzuhalten, dass die Vorbringen des Beschwerdeführers hinsichtlich der Ereignisse (Inhaftierungen durch die srilankische Polizei [Verdacht auf Terrorismusaktivitäten] und durch die LTTE [Verdacht auf Spionage für die Regierung]), die bereits Gegenstand des ersten rechtskräftig entschiedenen Asylgesuchs waren, nicht erneut zu überprüfen sind.</w:t>
      </w:r>
    </w:p>
    <w:p>
      <w:r>
        <w:rPr>
          <w:b/>
        </w:rPr>
        <w:t>E. 5.5</w:t>
      </w:r>
    </w:p>
    <w:p>
      <w:r>
        <w:t>Was die seither neu vorgebrachten Verfolgungsvorbringen und Benachteiligungen betrifft, werden sie im Wesentlichen weder vom Bundesamt noch vom Bundesverwaltungsgericht in Frage gestellt. Einzig das Vorbringen, er werde verdächtigt, in Terrorismusaktivitäten involviert gewesen zu sein, weshalb er gesucht werde, kann nicht geglaubt werden. Das Bundesverwaltungsgericht teilt mit dem Bundesamt die Auffassung, wonach der Beschwerdeführer - wäre er diesem Vorwurf tatsächlich ausgesetzt oder würde er eine Gefahr für die Sicherheit des srilankischen Staates darstellen - von der srilankischen Polizei verhaftet oder gegen ihn ein Untersuchungsverfahren eingeleitet worden wäre; der Beschwerdeführer hat indes nicht kundgetan, er sei seit dem Jahr 2002 über eine längere Zeit verhaftet worden, oder man habe ein Untersuchungsverfahren gegen ihn eröffnet. Seinen Ausführungen ist lediglich zu entnehmen, dass er mehrere Male von der Polizei festgenommen, befragt und danach wieder freigelassen worden sei (vgl. Sachverhalt J). Auch die auf Beschwerdeebene erneut geltend gemachte Terrorismus-Verdächtigung seitens der srilankischen Polizei überzeugt nicht, zumal die Ausführungen unsubstanziiert erscheinen, keine konkreten Anhaltspunkte enthalten und sich in einem Satz erschöpfen. Die anderen Vorbringen betreffend bleibt zu prüfen, ob die vorinstanzlichen Erwägungen zur fehlenden Einreisebeachtlichkeit zutreffend sind.</w:t>
      </w:r>
    </w:p>
    <w:p>
      <w:r>
        <w:rPr>
          <w:b/>
        </w:rPr>
        <w:t>E. 5.6</w:t>
      </w:r>
    </w:p>
    <w:p>
      <w:r>
        <w:t>Der Beschwerdeführer begründet die Schutzbedürftigkeit seiner Familie damit, dass er von der srilankischen Polizei mehrmals in willkürlicher Weise festgenommen, befragt und wieder freigelassen worden sei, wobei er immer wieder eingeschüchtert worden sei, sich jederzeit der Polizei zur Verfügung halten zu müssen. Ferner werde er im District Nuwara Eliya von den indisch-stämmigen Tamilen nicht akzeptiert und weggeschickt. Doch nach Batticaloa könne er mit seiner Familie nicht zurückkehren, da er sein Eigentum väterlicherseits nicht wieder habe zurückerlangen können. Er werde von der Polizei überwacht und könne kein freies Leben führen.</w:t>
      </w:r>
    </w:p>
    <w:p>
      <w:r>
        <w:rPr>
          <w:b/>
        </w:rPr>
        <w:t>E. 6.1</w:t>
      </w:r>
    </w:p>
    <w:p>
      <w:r>
        <w:t>Das Bundesverwaltungsgericht erkennt in den vorgebrachten Schilderungen des Beschwerdeführers keine Asylgründe im Sinne von Art. 3 AsylG, weshalb vorab auf die vorinstanzlichen Erwägungen verwiesen wird. Die geltend gemachten Probleme sind zum einen sehr pauschal gehalten und zum anderen genügen die behördlichen Massnahmen, welchen der Beschwerdeführer ausgesetzt zu sein scheint, den Anforderungen im Sinne von Art. 3 AsylG mangels Intensität nicht. Auch die geschilderte Einschränkung seiner Freiheitsrechte durch die willkürlichen Befragungen der srilankischen Polizei vermögen nicht dazu zu führen, dass der Beschwerdeführer die Flüchtlingseigenschaft zuerkennt bekommen würde. Der Beschwerdeführer weist kein ausreichend politisches Profil auf, um aufgrund seiner Schilderungen annehmen zu müssen, er sei akut gefährdet. Auch dass die indisch-stämmigen Tamilen ihn meiden würden, und er von ihnen aufgefordert werde, nach Batticaloa zurückzukehren, erfüllt die Anforderungen von Art. 3 AsylG offensichtlich nicht. Auf die weiteren Vorbringen ist nicht näher einzugehen, weil sie am Ausgang des Verfahrens nichts ändern. Auch die auf Beschwerdeebene gemachten Ausführungen sind offensichtlich unbehelflich, um zu einem andern Ergebnis zu gelangen.</w:t>
      </w:r>
    </w:p>
    <w:p>
      <w:r>
        <w:rPr>
          <w:b/>
        </w:rPr>
        <w:t>E. 6.2</w:t>
      </w:r>
    </w:p>
    <w:p>
      <w:r>
        <w:t>Im Anschluss an die obgenannten Ausführungen ist zusammenfassend festzustellen, dass der Beschwerdeführer mit seiner Familie in Sri Lanka nicht akut gefährdet ist, und die Voraussetzungen für die Bewilligung der Einreise deshalb nicht erfüllt. Die Vorinstanz hat daher zu Recht die Einreise des Beschwerdeführers und seiner Familie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