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E-1920/2010 vom 31. März 2010</w:t>
      </w:r>
    </w:p>
    <w:p>
      <w:r>
        <w:t>Bundesverwaltungsgericht, 2010-03-31, DE</w:t>
      </w:r>
    </w:p>
    <w:p>
      <w:r>
        <w:rPr>
          <w:b/>
        </w:rPr>
        <w:t xml:space="preserve">Quelle: </w:t>
      </w:r>
      <w:r>
        <w:t>https://mcp.opencaselaw.ch/entscheid/bvger_E-1920_2010</w:t>
      </w:r>
    </w:p>
    <w:p>
      <w:r>
        <w:t>FR: TAF E-1920/2010 du 31 mars 2010</w:t>
      </w:r>
    </w:p>
    <w:p>
      <w:r>
        <w:t>IT: TAF E-1920/2010 del 31 marzo 2010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Gewährung der unentgeltlichen Rechtspflege wird abgewiesen.</w:t>
      </w:r>
    </w:p>
    <w:p>
      <w:r>
        <w:rPr>
          <w:b/>
        </w:rPr>
        <w:t>E. 3</w:t>
      </w:r>
    </w:p>
    <w:p>
      <w:r>
        <w:t>Es werden keine Verfahrenskosten auferlegt.</w:t>
      </w:r>
    </w:p>
    <w:p>
      <w:r>
        <w:rPr>
          <w:b/>
        </w:rPr>
        <w:t>E. 4</w:t>
      </w:r>
    </w:p>
    <w:p>
      <w:r>
        <w:t>Dieses Urteil geht an die Rechtsvertreterin der Beschwerdeführerin, das BFM und die kantonale Ausländerbehörde. Der Einzelrichter: Der Gerichtsschreiber: Kurt Gysi Christoph Berger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