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E-1917/2010 vom 18. Mai 2010</w:t>
      </w:r>
    </w:p>
    <w:p>
      <w:r>
        <w:t>Bundesverwaltungsgericht, 2010-05-18, DE</w:t>
      </w:r>
    </w:p>
    <w:p>
      <w:r>
        <w:rPr>
          <w:b/>
        </w:rPr>
        <w:t xml:space="preserve">Quelle: </w:t>
      </w:r>
      <w:r>
        <w:t>https://mcp.opencaselaw.ch/entscheid/bvger_E-1917_2010</w:t>
      </w:r>
    </w:p>
    <w:p>
      <w:r>
        <w:t>FR: TAF E-1917/2010 du 18 mai 2010</w:t>
      </w:r>
    </w:p>
    <w:p>
      <w:r>
        <w:t>IT: TAF E-1917/2010 del 18 maggio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Abs. 2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entschieden (Art. 111 Bst. e AsylG). Wie nachfolgend aufgezeigt wird, handelt es sich im vorliegenden Fall um eine solche, weshalb der Beschwerdeentscheid nur summarisch zu begründen ist (Art. 111a Abs. 2 AsylG). Gestützt auf Art. 111a Abs. 1 AsylG wurde auf einen Schriftenwechsel verzichtet.</w:t>
      </w:r>
    </w:p>
    <w:p>
      <w:r>
        <w:rPr>
          <w:b/>
        </w:rPr>
        <w:t>E. 4.1</w:t>
      </w:r>
    </w:p>
    <w:p>
      <w:r>
        <w:t>Der Beschwerdeführer rügt in seiner Beschwerde unter anderem eine Verletzung des Anspruchs auf rechtliches Gehör und macht geltend, seine Eingabe vom 12. März 2010 sei in der angefochtenen Verfügung gänzlich unberücksichtigt geblieben und weder bei der Darstellung des Sachverhaltes noch in den Erwägungen erwähnt worden. Da die genannte Eingabe auch nicht Eingang ins Aktenverzeichnis gefunden habe, sei davon auszugehen, dass sie der zuständige Sachbearbeiter nie in den Händen gehabt habe. Diese Rüge der Verletzung des rechtlichen Gehörs ist vorweg zu prüfen, da das Vorliegen eines formellen Mangels einer materiellen Behandlung der vorliegenden Beschwerde im Wege stehen könnte.</w:t>
      </w:r>
    </w:p>
    <w:p>
      <w:r>
        <w:rPr>
          <w:b/>
        </w:rPr>
        <w:t>E. 4.2</w:t>
      </w:r>
    </w:p>
    <w:p>
      <w:r>
        <w:t>Der Anspruch auf rechtliches Gehör wird durch die Art. 29-33 VwVG konkretisiert. Danach umfasst der Anspruch auf rechtliches Gehör als Teilaspekte einen Anspruch der Parteien auf vorgängige Anhörung durch die Behörde (Art. 30 und Art.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umfasst, können sich darüber hinaus auch unmittelbar aus dem übergeordneten Verfassungsrecht in Formt von Art. 29 Abs. 2 der Bundesverfassung der Schweizerischen Eidgenossenschaft vom 18. April 1999 (BV, SR 101) ergeben.</w:t>
      </w:r>
    </w:p>
    <w:p>
      <w:r>
        <w:rPr>
          <w:b/>
        </w:rPr>
        <w:t>E. 4.3</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ALFRED KÖLZ/ISABELLE HÄNER, Verwaltungsverfahren und Verwaltungsrechtspflege des Bundes, 2. Aufl., Zürich 1998, S. 46, 107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grundsätzliche Pflicht der Behörden, ihren Entscheid zu begründen (BGE 123 I 31 E. 2c; vgl. etwa AUER/MALINVERNI/ HOTTELIER, a.a.O., S. 611 ff.; REINHOLD HOTZ, St. Galler Kommentar zu Art. 29 BV, Rz. 34 ff.; KÖLZ/HÄNER, a.a.O., S. 119; SCHEFER, a.a.O., S. 300 ff.).</w:t>
      </w:r>
    </w:p>
    <w:p>
      <w:r>
        <w:rPr>
          <w:b/>
        </w:rPr>
        <w:t>E. 4.4</w:t>
      </w:r>
    </w:p>
    <w:p>
      <w:r>
        <w:t>Vorliegend ist festzustellen, dass die angefochtene Verfügung des BFM diesen Kriterien offensichtlich nicht gerecht wird. Zwar wurde dem Beschwerdeführer mit Verfügung vom 24. Februar 2010 schriftlich das rechtliche Gehör zu einer Wegweisung nach Griechenland gewährt. Indessen wird das Recht auf vorgängige Anhörung durch die Pflicht der Behörde ergänzt, die Äusserungen des Betroffenen tatsächlich zur Kenntnis zu nehmen und sich damit in der Entscheidfindung und -begründung sachgerecht auseinanderzusetzen (vgl. Patrick Sutter, in: Christoph Auer, Markus Müller, Benjamin Schindler [Hrsg.], Kommentar zum Bundesgesetz über das Verwaltungsverfahren (VwVG), Zürich/St. Gallen 2008, Art. 30, N 5; vgl. ausserdem Patrick Sutter, ebd., Art. 32 N 2). In der angefochtenen Verfügung findet sich aber lediglich der Hinweis, dass dem Beschwerdeführer am 24. Februar 2010 das rechtliche Gehör gewährt worden sei. Die in diesem Rahmen fristgerecht eingereichte Eingabe des Beschwerdeführers vom 12. März 2010 wird an keiner Stelle erwähnt, und eine Auseinandersetzung mit den entsprechenden Vorbringen findet ebenfalls nicht statt. So machte der Beschwerdeführer im Rahmen des rechtlichen Gehörs insbesondere geltend, dass die Rücküberstellungsfrist abgelaufen sei und keine Gründe für eine Unterbrechung oder Verlängerung vorliegen würden. In Bezug auf diesen Punkt wird in der Verfügung, und zwar in widersprüchlicher Weise, nur gerade Folgendes ausgeführt: "Die Rückführung hat - vorbehältlich einer allfälligen Unterbrechung (Art. 19 Abs. 3 Dublin II Verordnung) oder Verlängerung (Art. 19 Abs. 4 Dublin II Verordnung) - bis spätestens zum 1. Januar 2010 zu erfolgen. Die Rückführung hat - vorbehältlich einer allfälligen Unterbrechung (Art. 19 Abs. 3 Dublin II Verordnung) oder Verlängerung (Art. 19 Abs. 4 Dublin II Verordnung) - bis spätestens zum 2. Januar 2011 zu erfolgen." In Anbetracht, dass die Eingabe des Beschwerdeführers im Aktenverzeichnis auch nicht vermerkt ist, ist somit offenkundig, dass das BFM seine Pflicht zur Berücksichtigung der Vorbringen (und Anträge) des Beschwerdeführers nicht wahrgenommen und damit dessen Anspruch auf rechtliches Gehör in massiver Weise verletzt hat.</w:t>
      </w:r>
    </w:p>
    <w:p>
      <w:r>
        <w:rPr>
          <w:b/>
        </w:rPr>
        <w:t>E. 5</w:t>
      </w:r>
    </w:p>
    <w:p>
      <w:r>
        <w:t>Nach dem Gesagten ist die Sache im Sinne der Erwägungen zur erneuten Beurteilung an die Vorinstanz zurückzuweisen und die Beschwerde insofern gutzuheissen, als damit die Aufhebung der angefochtenen Verfügung beantragt wird. Unter diesen Umständen erübrigt es sich, auf die weiteren Rechtsbegehren und Vorbringen in der Beschwerdeschrift einzugehen.</w:t>
      </w:r>
    </w:p>
    <w:p>
      <w:r>
        <w:rPr>
          <w:b/>
        </w:rPr>
        <w:t>E. 6.1</w:t>
      </w:r>
    </w:p>
    <w:p>
      <w:r>
        <w:t>Bei diesem Ausgang des Verfahrens sind keine Kosten aufzuerlegen (Art. 63 Abs. 1 und 2 VwVG); dem Beschwerdeführer ist der geleistete Kostenvorschuss in der Höhe von Fr. 600.- zurückzuerstatten.</w:t>
      </w:r>
    </w:p>
    <w:p>
      <w:r>
        <w:rPr>
          <w:b/>
        </w:rPr>
        <w:t>E. 6.2</w:t>
      </w:r>
    </w:p>
    <w:p>
      <w:r>
        <w:t>Gemäss Art. 64 Abs. 1 VwVG kann die Beschwerdeinstanz der ganz oder teilweise obsiegenden Partei von Amtes wegen oder auf Begehren eine Entschädigung für ihr erwachsene notwendige und verhältnismässig hohe Kosten zusprechen. Der vom Rechtsvertreter am 15. Mai 2010 eingereichten Kostennote ist ein Arbeitsaufwand von 6 Stunden und 20 Minuten zu einem Stundenansatz von Fr. 230.- zu entnehmen, was dem vorliegenden, nicht übermässig komplexen oder umfangreichen Verfahren nicht als vollumfänglich angemessen respektive notwendig im Sinne von Art. 64 Abs. 1 VwVG erscheint. Unter Berücksichtigung der massgebenden Bemessungsfaktoren (Art. 9-13 des Reglements vom 21. Februar 2008 über die Kosten und Entschädigungen vor dem Bundesverwaltungsgericht (VGKE, SR 173.320.2) und der Entschädigungspraxis in Vergleichsfällen scheint ein zeitlicher Aufwand von 5 Stunden angemessen. Dem Beschwerdeführer ist somit eine von der Vorinstanz zu entrichtende Parteientschädigung in der Höhe von Fr. 1253.- (inklusive Mehrwertsteuer und Auslagen im Betrag von Fr. 16.-) zuzusprechen (Art. 10 und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