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E-1901/2018 vom 11. Februar 2021</w:t>
      </w:r>
    </w:p>
    <w:p>
      <w:r>
        <w:t>Bundesverwaltungsgericht, 2021-02-11, DE</w:t>
      </w:r>
    </w:p>
    <w:p>
      <w:r>
        <w:rPr>
          <w:b/>
        </w:rPr>
        <w:t xml:space="preserve">Quelle: </w:t>
      </w:r>
      <w:r>
        <w:t>https://mcp.opencaselaw.ch/entscheid/bvger_E-1901_2018</w:t>
      </w:r>
    </w:p>
    <w:p>
      <w:r>
        <w:t>FR: TAF E-1901/2018 du 11 février 2021</w:t>
      </w:r>
    </w:p>
    <w:p>
      <w:r>
        <w:t>IT: TAF E-1901/2018 del 11 febbraio 2021</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bewirkend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Zur Begründung ihres ablehnenden Asylentscheids führte die Vorinstanz aus, die Vorfluchtgründe der Beschwerdeführenden hielten den Anforderungen an die Glaubhaftigkeit gemäss Art. 7 AsylG nicht stand. Es sei nicht nachvollziehbar, weshalb der Beschwerdeführer den Erhalt des Haftbefehls - den angeblichen Hauptgrund für den Umzug von K._______ nach F._______ - an der BzP mit keinem Wort erwähnt, sondern als Grund die politische Tätigkeit für die I._______ und seine Arbeit angegeben habe. Dies auch nicht im Zusammenhang mit der Verhaftung aufgrund des Diebstahls der Pistole, welche in engem Zusammenhang mit dem Haftbefehl gestanden haben müsse. Auch die Beschwerdeführerin habe bei der BzP weder von den Vorladungen noch von dem Haftbefehl berichtet, obwohl sie gemäss eigenen Aussagen davon Kenntnis gehabt habe. Ebenfalls nicht angegeben habe der Beschwerdeführer an der BzP, dass er im Jahr (...) für neun Tage inhaftiert, befragt und geschlagen worden sei, dies obwohl er explizit nach einer Verhaftung gefragt worden sei. Auf Nachfrage habe er nur die Festnahme in J._______ im Jahr (...) oder (...) genannt. Es sei deshalb davon auszugehen, dass die Beschwerdeführenden bewusst Asylgründe nachgeschoben hätten. Widersprüchlich ausgefallen seien auch die Ausführungen des Beschwerdeführers, wie er erfahren habe, dass der Auftraggeber ein ehemaliger Ettelaat-Mitarbeiter gewesen sei. Unklar sei auch, ob (...) am Morgen des (...) die Pistole entwendet habe oder bereits am Abend zuvor und danach gar nicht mehr zur Arbeit erschienen sei. Der Erklärungsversuch, wonach der Dolmetscher nicht richtig übersetzt habe, überzeuge nicht, zumal der Beschwerdeführer die Richtigkeit der Protokolle unterschriftlich verifiziert habe. Obwohl es sich dabei angeblich um das zentrale Ereignis für die Ausreise gehandelt habe, seien die Ausführungen dazu unpräzise und widersprüchlich ausgefallen. Auch zum geltend gemachten Haftbefehl beziehungsweise der Vorladungen habe er sich widersprochen und erst nach und nach zugegeben, den Haftbefehl nach der Ausreise käuflich erworben zu haben. Es sei deshalb unwahrscheinlich, dass es sich um ein echtes Dokument handle. Die Vorladungen, welche angeblich (...) zugestellt worden seien, habe er nicht eingereicht. Auf eine eingehende Würdigung des Bestätigungsschreibens der S._______ könne verzichtet werden, da ein solches leicht selbst hergestellt werden und es sich dabei auch um ein Gefälligkeitsschreiben handeln könne. Es gebe keinen Anlass zur Annahme, er sei vor dem Verlassen des Irans als regimefeindliche Person ins Blickfeld der heimatlichen Regierung geraten oder als Regimegegner oder politischer Aktivist wahrgenommen worden. Es sei deshalb nicht davon auszugehen, er würde seit seiner Ankunft in der Schweiz unter spezieller Beobachtung seitens der iranischen Behörden stehen. Gemäss seinen Aussagen sei er nie ein offizielles Mitglied der I._______, sondern nur Sympathisant gewesen, Aufträge habe er nur für die S._______ und nicht für die S._______ ausgeführt. Trotzdem stamme das eingereichte Schreiben von der S._______ und sei erst ein Jahr nach seiner Ankunft in der Schweiz ausgestellt worden. In der Schweiz habe er erst an zwei Kundgebungen teilgenommen und der gegründete Verein sei immer noch in der Anfangsphase. Gemäss seinen Aussagen habe er nicht den Eindruck erweckt, ein besonders aktives Mitglied der kurdischen Gemeinschaft in der Schweiz zu sein. Den Akten seien keine konkreten Hinweise darauf zu entnehmen, wonach er sich in qualifizierter Weise exilpolitisch betätigt habe. Insgesamt würden keine Anhaltspunkte für die Annahme bestehen, im Iran seien gegen ihn aufgrund der geltend gemachten Aktivitäten behördliche Massnahmen eingeleitet worden.</w:t>
      </w:r>
    </w:p>
    <w:p>
      <w:r>
        <w:rPr>
          <w:b/>
        </w:rPr>
        <w:t>E. 4.2</w:t>
      </w:r>
    </w:p>
    <w:p>
      <w:r>
        <w:t>Die Beschwerdeführenden halten in ihrer Beschwerdeschrift fest, der Beschwerdeführer habe bereits anlässlich der BzP ausgeführt, zufolge seiner politischen Aktivitäten nach F._______ umgezogen zu sein. Bei der Anhörung habe er dazu präzisiert, dass er einen Haftbefehl erhalten habe. Er sei seit über zehn Jahren politisch aktiv gewesen, weshalb er gewohnt gewesen sei, im Visier der Behörden zu stehen. Erst nach Erhalt der Vorladungen und des Haftbefehls habe er jedoch gemerkt, dass sich die Situation zugespitzt habe. Es sei eine Kette von Ereignissen gewesen, die letztendlich zur Ausreise geführt habe. Erst einige Monate nach Erhalt des Haftbefehls sei er nach F._______ umgezogen, weshalb er diesen auch erst bei der Konkretisierung seiner Umzugsgründe erwähnt habe. Die Beschwerdeführerin habe stets erwähnt, nichts von einem Haftbefehl gewusst zu haben, sie habe lediglich eine Mahnung beziehungsweise Vorladung erhalten. Die Folterungen, die dem Beschwerdeführer anlässlich der Haft im Jahr (...) zugefügt worden seien, würden durch die Fotos der Narben und die Arztberichte belegt. Die Vorinstanz habe der unterschiedlichen Natur der BzP und der Anhörung zu wenig Rechnung getragen. Die BzP sei nur wenige Tage nach der Ankunft des Beschwerdeführers erfolgt und habe somit kurz nach den traumatischen Erlebnissen stattgefunden. Hingegen seien sie erst zwei Jahre nach der BzP angehört worden. Der Beschwerdeführer habe selbst nichts mit der Entwendung der Pistole des Auftragsgebers zu tun gehabt, weshalb er auch keine genauen Angaben dazu habe machen können. (...) sei zwar am besagten Tag in der Wohnung gewesen, habe aber nicht gearbeitet. Bei der Anhörung habe der Beschwerdeführer das Datum des Haftbefehls falsch genannt, weil er zwei Zahlen vertauscht habe ([...]. statt [...]). Die Echtheit des Dokuments könne deshalb aber nicht insgesamt in Zweifel gezogen werden, zumal das Ausstellungsdatum mit der Fluchtgeschichte übereinstimme. Im (...) sei der Haftbefehl ausgestellt worden und wenige Monate danach seien sie nach F._______ gezogen, um sich in Sicherheit zu bringen. Der Haftbefehl sei ihm ausgehändigt worden, weil seine Familie beim Polizeiposten eine Geldsumme bezahlt habe. Es handle sich dabei um die Aushändigung eines echten Dokuments, nicht um den Kauf einer Fälschung. Er sei immer für die S._______ und nicht für die S._______ tätig gewesen und habe genau beschrieben, worin seine Tätigkeiten für die S._______ im H._______ bestanden hätten. Beim Schreiben der S._______ handle es sich nicht um eine Fälschung oder um ein Gefälligkeitsschreiben, sondern um ein Schreiben, worin seine Tätigkeiten für die Partei detailliert aufgeführt würden. Die Fluchtgeschichte habe er detailliert und kohärent geschildert; diese stimme mit den Aussagen der Beschwerdeführerin überein. Er nehme ausserdem in der Schweiz an Demonstrationen und Kundgebungen gegen das iranische Regime teil und sei Sympathisant einer Oppositionspartei. Zudem habe er im Auftrag seiner Partei einen Verein für gebildete Kurden gegründet. In einer Gesamtbetrachtung sei deshalb davon auszugehen, dass er als aktiver Oppositioneller aus der Masse der Exilpolitiker heraussteche, da er bereits in seinem Herkunftsland in den Fokus der Behörden geraten sei. Da er im Ausland das iranische Regime öffentlich anprangere, drohe ihm im Falle einer Rückkehr als Staatsfeind eine Inhaftierung, Folter oder gar seine Hinrichtung. Gemäss internationalen Urteilen seien auch Exilpolitiker mit weniger hochrangigen Positionen der Gefahr einer Verfolgung durch den iranischen Sicherheitsdienst ausgesetzt.</w:t>
      </w:r>
    </w:p>
    <w:p>
      <w:r>
        <w:rPr>
          <w:b/>
        </w:rPr>
        <w:t>E. 5.1</w:t>
      </w:r>
    </w:p>
    <w:p>
      <w:r>
        <w:t>Zunächst ist dem Beschwerdeführer insofern beizupflichten, als er betreffend das Schreiben der S._______ - entgegen den Ausführungen der Vorinstanz - nicht angegeben hat, er sei für die S._______ tätig gewesen, sondern für die I._______ mit Sitz im H._______ (vgl. A23 F9, F17, F29, F110, F113). Die Aussage, wonach er mit der I._______ zusammengearbeitet habe und «noch immer mit dieser Partei» zusammenarbeite (vgl. A23 F17), lässt darauf schliessen, dass er mit I._______ durchgehend die S._______ gemeint hat. Die Vorinstanz ist nichtsdestotrotz in ihren Erwägungen zur zutreffenden Erkenntnis gelangt, die von den Beschwerdeführenden geltend gemachten Vorverfolgungsvorbringen würden den Anforderungen an die Glaubhaftigkeit und an die Asylrelevanz nicht genügen, weshalb sie die Flüchtlingseigenschaft nicht erfüllten. Der Vorfall in F._______, der zu Verhaftung des Beschwerdeführers geführt habe, scheint nicht realitätsnah. Es ist nicht nachvollziehbar, weshalb er zum gegebenen Zeitpunkt auf der Flucht gewesen sein soll (vgl. A23 F33). Der Beschwerdeführer behauptet, er sei sowohl durch den Oberst als auch durch die Polizei so schwer misshandelt worden, dass er einen Rippenbruch erlitten und Blut erbrochen habe (vgl. A23 F33). In Anbetracht seiner schweren inneren und äusseren Verletzungen scheint seine Schilderung, wonach er aus einem Fenster geklettert und drei Stunden gerannt sein soll, jedoch kaum nachvollziehbar (vgl. A23 F33). Des Weiteren sei zwar die Polizei wegen einer verschwundenen Pistole gerufen worden, die Verhaftung soll hingegen schliesslich aufgrund seiner politischen Aktivitäten, der damit verbundenen Vorladungen und des Haftbefehls erfolgt sein (vgl. A23 F33). Diese politischen Aktivitäten vermag der Beschwerdeführer indessen nicht glaubhaft darzulegen, zumal unklar bleibt, worin seine konkreten Aufgaben bis zum Jahr (...) bestanden haben sollen. Aus seinen Aussagen geht zwar hervor, dass er bis zu diesem Jahr mehrmals in der Woche zwischen dem Iran und H._______ hin und her gereist sei (vgl. A23 F51 - F56). Die Angaben zu seinen politischen Aufgaben in dieser Zeit bleiben jedoch durchgehend undetailliert (vgl. A23 F17, F29, F51 - F56, F108). Überdies ist aufgrund seiner widersprüchlichen Aussagen ungewiss, bis wann der Beschwerdeführer politisch aktiv gewesen sein soll. Zunächst gibt er an, in P._______ mit der S._______ bis zum Jahr (...) zusammengearbeitet zu haben (vgl. A5 7.01 und A23 F29). Im Widerspruch dazu bringt er später jedoch vor, auch im Jahr (...) in P._______ politisch tätig gewesen zu sein, wobei er die Wege zwischen L._______ und K._______ überwacht habe (vgl. A23 F63). Seine Vorbringen dazu bleiben trotz mehrfacher Nachfrage allgemein, vage und unstubstantiiert und vermögen weder einen nachvollziehbaren, kohärenten Verlauf des tatsächlich Erlebten darzustellen noch einen Konnex zu seinem geltend gemachten politischen Engagement herzustellen (vgl. A23 F63 - F70). Demgegenüber ist anzumerken, dass die Äusserungen der Beschwerdeführenden hinsichtlich der Reisen in H._______ sowie ihrem Eheleben durchaus plausibel und glaubhaft dargelegt werden. Dasselbe gilt für die durch den Beschwerdeführer erfolgten Beschreibungen der Grenzlandschaft. Allerdings ist nicht glaubhaft, dass diese Reisen im Zusammenhang mit dem geltend gemachten politischen Engagement des Beschwerdeführers für die S._______ geschehen sind. Daran vermag auch das Schreiben der S._______ nichts zu ändern. Dies umso mehr, als er sich bezüglich der Vorladungen und des Haftbefehls mehrmals widerspricht und seine Behauptungen revidiert. So sagt er zunächst aus, (...) habe den Haftbefehl erhalten (vgl. A23 F9, F80). Auf mehrfache Nachfrage revidiert er dies und gibt an, (...) habe nicht den Haftbefehl, sondern eine polizeiliche Vorladung dazu erhalten (vgl. A23 F87); den Haftbefehl habe er gegen Entgelt erlangen können (vgl. A23 F85 - F94). Entgegen den Ausführungen in der Beschwerdeschrift handelt es sich beim eingereichten Haftbefehl im Übrigen nicht um ein Original, sondern um eine - an der Unterschrift erkennbare - Kopie. Somit hat der Beschwerdeführer falsche Aussagen zum Haftbefehl gemacht und ein Beweismittel vorgebracht, welches er käuflich erworben hat. Dem Haftbefehl ist somit jeglicher Beweiswert abzusprechen. Seine Erklärungen zu den Gründen, die ihn dazu bewogen hätten, den Haftbefehl käuflich zu erwerben und falsche Angaben dazu zu machen, vermögen diese Einschätzung nicht zu entkräften. Dem Beschwerdeführer ist es zwar gelungen, eine Vorladung im Original nachzureichen. Dies allein reicht jedoch nicht aus, um die Glaubhaftigkeit seiner politischen Aktivitäten und der damit verbundenen Vorladung zu beweisen, zumal der Grund für die Vorladung darin nicht ersichtlich ist. Demzufolge kann die Glaubhaftigkeit der Verhaftungen im Jahr (...) und (...) beziehungsweise die in diesem Zusammenhang geltend gemachten Misshandlungen offengelassen werden, zumal sie für die Ausreise der Beschwerdeführenden ohnehin nicht kausal waren.</w:t>
      </w:r>
    </w:p>
    <w:p>
      <w:r>
        <w:rPr>
          <w:b/>
        </w:rPr>
        <w:t>E. 5.2</w:t>
      </w:r>
    </w:p>
    <w:p>
      <w:r>
        <w:t>Die Vorbringen der Beschwerdeführerin stimmen zwar überwiegend mit den Vorbringen des Beschwerdeführers überein. Auch bestätigt sie die politische Aktivität ihres Mannes (vgl. A24 F14, F30, F34, F35, F46). Sie kann aber keine detaillierten Angaben zu diesen machen (vgl. A24 F30, F34- F35, F42, F46- F47). Überdies erstaunt, dass die Beschwerdeführerin und (...) legal ausreisen konnten, obwohl ihr Ehemann und Vater ihres Kindes als politischer Aktivist gesucht worden sein soll. Abschliessend und als weiteres Indiz gegen die Glaubhaftigkeit der Vorbringen ist hinsichtlich der spektakulär geschilderten Flucht darauf hinzuweisen, dass diese zwar sehr detailliert beschrieben wird, sich die Erzählungen der beiden Beschwerdeführenden aber derart gleichen, dass sie einstudiert und abgesprochen wirken.</w:t>
      </w:r>
    </w:p>
    <w:p>
      <w:r>
        <w:rPr>
          <w:b/>
        </w:rPr>
        <w:t>E. 5.3</w:t>
      </w:r>
    </w:p>
    <w:p>
      <w:r>
        <w:t>Zusammenfassend haben die Beschwerdeführenden nichts vorgebracht, was geeignet wäre, ihre Flüchtlingseigenschaft aufgrund von Vorfluchtgründen nachzuweisen oder zumindest glaubhaft zu machen. Die Vorinstanz hat ihre Asylgesuche zu Recht abgelehnt.</w:t>
      </w:r>
    </w:p>
    <w:p>
      <w:r>
        <w:rPr>
          <w:b/>
        </w:rPr>
        <w:t>E. 5.4</w:t>
      </w:r>
    </w:p>
    <w:p>
      <w:r>
        <w:t>Gemäss Art. 54 AsylG wird Flüchtlingen kein Asyl gewährt, wenn sie erst durch ihre Ausreise aus dem Heimat- oder Herkunftsstaat oder wegen ihres Verhaltens nach der Ausreise Flüchtlinge im Sinne von Art. 3 AsylG wurden (subjektive Nachfluchtgründe).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(BVGE 2009/28 E. 7.1 ff.)</w:t>
      </w:r>
    </w:p>
    <w:p>
      <w:r>
        <w:rPr>
          <w:b/>
        </w:rPr>
        <w:t>E. 5.5</w:t>
      </w:r>
    </w:p>
    <w:p>
      <w:r>
        <w:t>Die politische Betätigung für als staatsfeindlich aufgefasste Organisationen im Ausland ist seit der Neufassung des iranischen Strafrechts im Jahr 1996 grundsätzlich unter Strafe gestellt. Es ist allgemein bekannt, dass die iranischen Behörden die politischen Aktivitäten ihrer Staatsangehörigen im Ausland überwachen und erfassen. Es bleibt jedoch im Einzelfall zu prüfen, ob die exilpolitischen Aktivitäten bei einer allfälligen Rückkehr in den Iran mit überwiegender Wahrscheinlichkeit ernsthafte Nachteile im Sinne des Asylgesetzes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ihre Chancen auf ein Aufenthaltsrecht zu erhöhen versuchen (vgl. BVGE 2009/28 E. 7.4.3). Diese Rechtsprechung gilt auch heute noch (vgl. beispielsweise Urteil des BVGer D-7179/2016 vom 15. Dezember 2020 E.6.3).</w:t>
      </w:r>
    </w:p>
    <w:p>
      <w:r>
        <w:rPr>
          <w:b/>
        </w:rPr>
        <w:t>E. 5.6</w:t>
      </w:r>
    </w:p>
    <w:p>
      <w:r>
        <w:t>Nachfolgend ist die flüchtlingsrechtliche Relevanz der exilpolitischen Aktivitäten des Beschwerdeführers für die S._______ in der Schweiz zu untersuchen. Der Beschwerdeführer bringt vor, er sei in der Schweiz politisch aktiv und deshalb bei einer Rückkehr in den Iran gefährdet. Er macht geltend, er sei in der Schweiz S._______ beigetreten und nehme seither regelmässig an Versammlungen der Partei und an Demonstrationen teil. Durch ein Video, welches auf der Facebook-Seite "T._______" hochgeladen worden sei, sei seine Teilnahme an einer Veranstaltung dokumentiert worden. Des Weiteren sei er Gründungsmitglied der (...) und habe (...).</w:t>
      </w:r>
    </w:p>
    <w:p>
      <w:r>
        <w:rPr>
          <w:b/>
        </w:rPr>
        <w:t>E. 5.7</w:t>
      </w:r>
    </w:p>
    <w:p>
      <w:r>
        <w:t>Das politische Engagement des Beschwerdeführers in der Schweiz im Rahmen seiner Mitgliedschaft bei der S._______, das durch die eingereichten Beweismittel belegt ist, ist als eher gering einzustufen. Die Teilnahme an Parteiversammlungen und Kundgebungen stellt eine massentypische Erscheinungsform exilpolitischer Aktivität dar, die kein besonders exponiertes politisches Profil des Beschwerdeführers zur Folge hat. Das auf Facebook hochgeladene Video erscheint ebenfalls nicht geeignet, ihm ein erhöhtes politisches Profil zu verschaffen. Andere Aktivitäten, die den Beschwerdeführer aus der Masse herausheben würden, macht er nicht geltend. Da sich der Beschwerdeführer weder durch seine Persönlichkeit noch durch Form oder Inhalt seiner politischen Aktivitäten speziell exponiert hat, ist nicht davon auszugehen, dass er von den iranischen Behörden als Regimegegner betrachtet wird oder bei einer Rückkehr als solcher identifiziert würde und entsprechend gefährdet ist. Es ist aufgrund des Ausgeführten nicht anzunehmen, dass er in flüchtlingsrechtlich relevanter Weise in den Fokus der heimatlichen Behörden geraten ist.</w:t>
      </w:r>
    </w:p>
    <w:p>
      <w:r>
        <w:rPr>
          <w:b/>
        </w:rPr>
        <w:t>E. 5.8</w:t>
      </w:r>
    </w:p>
    <w:p>
      <w:r>
        <w:t>Zusammenfassend ist festzuhalten, dass die exilpolitischen Aktivitäten des Beschwerdeführers nicht geeignet sind, zu einer besonderen Exponiertheit zu führen und die Aufmerksamkeit der iranischen Behörden zu wecken. Es ist somit nicht davon auszugehen, dass den Beschwerdeführenden bei einer Rückkehr mit überwiegender Wahrscheinlichkeit eine Verfolgung drohen würde, weshalb das Vorliegen von subjektiven Nachfluchtgründen zu verneinen ist.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8.1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8.2</w:t>
      </w:r>
    </w:p>
    <w:p>
      <w:r>
        <w:t>Die allgemeine Lage im Iran zeichnet sich nicht durch eine Situation allgemeiner Gewalt aus, obwohl die Staatsordnung als totalitär zu bezeichnen ist und die allgemeine Situation in verschiedener Hinsicht problematisch sein kann (vgl. beispielsweise Urteile des Bundesverwaltungsgericht D-1970/2019 vom 11. Dezember 2020 E. 7.3.1 und D-3687/2020 vom 25. September 2020 E. 9.3.1). Selbst unter Berücksichtigung dieser Umstände wird der Vollzug der Wegweisung in den Iran nach konstanter Praxis grundsätzlich als zumutbar erachtet. Auch in individueller Hinsicht erscheint eine Rückkehr der Beschwerdeführenden in den Iran zumutbar. Der Beschwerdeführer verfügt sowohl über eine gute schulische Ausbildung als auch über Arbeitserfahrung als (...) (vgl. A5 8.02, A6 8.02, A5 1.17.04, A23 F9, F33). Die Eltern und Geschwister der Beschwerdeführenden leben immer noch im Iran und halten den Kontakt zu ihnen aufrecht (vgl. A23 F18 - F20). Insgesamt ist davon auszugehen, dass sie sich wieder im Iran integrieren und für ihren Lebensunterhalt werden aufkommen können. Die geltend gemachte Integration in der Schweiz vermag an dieser Einschätzung nichts zu ändern. Die Beschwerdeführenden sind für (...) immer noch die wichtigsten Bezugspersonen, weshalb nicht von einer Entwurzelung auszugehen ist. (...) ist es aufgrund seines Alters möglich, sich wieder im Iran einzuleben. Die vom Beschwerdeführer geltend gemachten gesundheitlichen Beeinträchtigungen ([...]) sind zwar nicht unerheblich, stehen aber dem Wegweisungsvollzug insgesamt nicht entgegen.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führen würde.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Das Gesundheitssystem in Iran weist - auch in Bezug auf die Behandlung von (...) Problemen - ein relativ hohes Niveau auf (vgl. dazu beispielsweise Urteil des BVGer E-5337/2018 vom 25. Juli 2020 E. 8.5.3, m.w.H.), weshalb davon auszugehen ist, dass der Beschwerdeführer auch in Iran adäquat weiterbehandelt werden kann. Das in der Beweismitteleingabe vom (...) zitierte Urteil D-143/2011 des Bundesverwaltungsgerichts, welches die Rückkehr in die Heimat aufgrund schweren psychischen Leidens als unzumutbar erachtete, ist mit dem vorliegenden Fall nicht vergleichbar. Zudem bestehen keine Anzeichen dafür, dass dem Beschwerdeführer als Angehöriger der kurdischen Ethnie der Zugang zu medizinischer Versorgung verwehrt würde. Der Vollzug der Wegweisung erweist sich als zumutbar.</w:t>
      </w:r>
    </w:p>
    <w:p>
      <w:r>
        <w:rPr>
          <w:b/>
        </w:rPr>
        <w:t>E. 8.3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Zufolge der mit Zwischenverfügung vom 10. April 2018 und der aktualisierten Fürsorgebestätigung vom 2. Februar 2021 sind keine Verfahrenskosten aufzuerlegen.</w:t>
      </w:r>
    </w:p>
    <w:p>
      <w:r>
        <w:rPr>
          <w:b/>
        </w:rPr>
        <w:t>E. 10.2</w:t>
      </w:r>
    </w:p>
    <w:p>
      <w:r>
        <w:t>Dem vom Gericht bestellten unentgeltlichen Rechtsbeistand der Beschwerdeführenden ist eine Entschädigung zu Lasten des Gerichts auszurichten (Art. 65 Abs. 5 VwVG und Art. 12 des Reglements vom 21. Februar 2008 über die Kosten und Entschädigungen vor dem Bundesverwaltungsgericht [VGKE, SR 173.320.2] i.V.m. Art. 8 ff VGKE). Der Rechtsvertreter reichte am 3. Februar 2021 eine Kostennote ein, in welcher ein Aufwand von 19.35 Stunden zu einem Stundenansatz von Fr. 300.- geltend gemacht wird, zuzüglich Auslagen in der Höhe von Fr. 137.70 und Mehrwertsteuer. Der Stundensatz wird gemäss At. 12 i.V.m. Art. 10 VGKE auf Fr. 220. gekürzt. Das amtliche Honorar ist somit auf Fr. 4'733.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