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E-1899/2016 vom 18. April 2016</w:t>
      </w:r>
    </w:p>
    <w:p>
      <w:r>
        <w:t>Bundesverwaltungsgericht, 2016-04-18, DE</w:t>
      </w:r>
    </w:p>
    <w:p>
      <w:r>
        <w:rPr>
          <w:b/>
        </w:rPr>
        <w:t xml:space="preserve">Quelle: </w:t>
      </w:r>
      <w:r>
        <w:t>https://mcp.opencaselaw.ch/entscheid/bvger_E-1899_2016</w:t>
      </w:r>
    </w:p>
    <w:p>
      <w:r>
        <w:t>FR: TAF E-1899/2016 du 18 avril 2016</w:t>
      </w:r>
    </w:p>
    <w:p>
      <w:r>
        <w:t>IT: TAF E-1899/2016 del 18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Aus den Akten geht hervor, dass das zuständige Migrationsamt mit Schreiben vom 16. März 2016 den Beschwerdeführenden den Entscheid des SEM vom 10. März 2016 zustellte. Mit einem als "Meldung Fristverlängerung: Brief mit Zustellnachweis" bezeichneten Schreiben vom 26. März 2016 setzte die Schweizer Post das zuständige Migrationsamt darüber in Kenntnis, dass die vorinstanzliche Verfügung noch nicht habe zugestellt werden können und aufgrund eines Auftrags des Empfängers vielleicht noch längere Zeit (höchstens zwei Monate) bei der Post lagere. Hierzu ist festzuhalten, dass gemäss Art. 12 Abs. 1 AsylG eine Zustellung oder Mitteilung an die letzte den Behörden bekannte Adresse von Asylsuchenden oder von diesen Bevollmächtigten nach Ablauf der ordentlichen siebentägigen Abholfrist rechtsgültig wird, auch wenn die Betroffenen aufgrund einer besonderen Vereinbarung mit der Schweizerischen Post erst zu einem späteren Zeitpunkt davon Kenntnis erhalten oder wenn die Sendung als unzustellbar zurückkommt. Vorliegend greift somit die Zustellfiktion, wonach eine Mitteilung, die nur gegen Unterschrift des Adressaten überbracht wird, spätestens am siebenten Tag nach dem ersten erfolglosen Zustellungsversuch als erfolgt gilt. Die Verfügung des SEM wurde den Beschwerdeführenden demnach am 24. März 2016 eröffnet (Art. 20 Abs. 2bis VwVG). Die Beschwerde ist folglich frist- und formgerecht eingereicht, weshalb den Beschwerdeführenden kein Nachteil erwächst. Auf die weiteren Ausführungen seitens der Beschwerdeführenden hierzu einzugehen, kann indes verzichtet werden.</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1.4</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1.5</w:t>
      </w:r>
    </w:p>
    <w:p>
      <w:r>
        <w:t>Gestützt auf Art. 111a Abs. 1 AsylG wurde vorliegend auf einen Schriftenwechsel verzichtet.</w:t>
      </w:r>
    </w:p>
    <w:p>
      <w:r>
        <w:rPr>
          <w:b/>
        </w:rPr>
        <w:t>E. 2</w:t>
      </w:r>
    </w:p>
    <w:p>
      <w:r>
        <w:t>Vorab ist in Bezug auf das Gesuch um Gewährung einer angemessenen Nachfrist zur Begründung und Ergänzung der Beschwerde nach Eingang der vorinstanzlichen Akten Folgendes festzuhalten: Nachdem der Rechtsvertreter mit Eingabe vom 5. April 2016 eine Beschwerdeergänzung eingereicht hat, ist dieses Gesuch als gegenstandslos geworden abzuschreiben.</w:t>
      </w:r>
    </w:p>
    <w:p>
      <w:r>
        <w:rPr>
          <w:b/>
        </w:rPr>
        <w:t>E. 3</w:t>
      </w:r>
    </w:p>
    <w:p>
      <w:r>
        <w:t>Die Beschwerdeführenden beanstanden ferner, es sei ihnen die aktualisierte Liste offenzulegen, ansonsten eine Gehörsverletzung und eine Verletzung der Begründungspflicht vorliege. Hierzu ist festzuhalten, dass aufgrund der Ausführungen in der Beschwerdeergänzung davon auszugehen ist, dass der Rechtsvertreter offenbar bereits Kenntnis vom Rundschreiben vom 8. Juni 2015 hat. Mit vorliegendem Urteil wird den Beschwerdeführenden auch das Schreiben vom 15. Februar 2016 zugestellt, welches eine Aktualisierung des vorangehenden Rundbriefs darstellt und die gegenwärtigen Plätze auflistet. Im Übrigen sind diese Rundschreiben öffentlich auf der Homepage von "European Database of Asylum Law (EDAL)" beziehungsweise von "Asylum Information Database (AIDA)" abrufbar (vgl. www.asylumlawdatabase.eu bzw. www.asylumineurope.org). Ein möglicher Rechtsnachteil, welcher den Beschwerdeführenden durch dieses Vorgehen erwachsen sein könnte, ist nicht ersichtlich, weshalb sich die Rüge als unbegründet erweist.</w:t>
      </w:r>
    </w:p>
    <w:p>
      <w:r>
        <w:rPr>
          <w:b/>
        </w:rPr>
        <w:t>E. 4</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wie das vorliegende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Christian Filzwieser/Andrea Sprung, Dublin-III-Verordnung, Das Europäische Asylzuständigkeitssystem, Stand 1. Februar 2014, Wien 2014, K4 zu Art. 7).</w:t>
      </w:r>
    </w:p>
    <w:p>
      <w:r>
        <w:rPr>
          <w:b/>
        </w:rPr>
        <w:t>E. 5.4</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6</w:t>
      </w:r>
    </w:p>
    <w:p>
      <w:r>
        <w:t>Den vorliegenden Akten ist zu entnehmen (vgl. Ausführungen der Beschwerdeführerin, A4/13 S. 8, sowie die ins Recht gelegten Unterlagen der italienischen Behörden, A10/11 [vgl. Beilagen]), dass die Beschwerdeführenden erstmals in Italien in das Hoheitsgebiet der Dublin-Mitgliedstaaten eingereist sind. Das SEM ersuchte infolgedessen am 29. September und am 18. November 2015 die italienischen Behörden gestützt auf Art. 13 Abs. 1 Dublin-III-VO um Übernahme der Beschwerdeführenden. Diesem Gesuch wurde, nachdem die italienischen Behörden mit Schreiben vom 17. November 2015 zuerst die Zustimmung verweigert hatten, am 8. März 2016 - allerdings nur in Bezug auf die Beschwerdeführerin - entsprochen. Nach einem Hinweis des SEM hiess Italien am 9. März 2016 auch das Gesuch hinsichtlich der Kinder gut und sicherte eine kindsgerechte Unterbringung unter Wahrung der Familieneinheit zu. Die grundsätzliche Zuständigkeit Italiens wird denn auch weder im Rahmen der Gewährung des rechtlichen Gehörs noch in der Beschwerdeschrift bestritten. Die Zuständigkeit Italiens im vorliegenden Fall ist somit gegeben.</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Im Lichte von Art. 3 Abs. 2 Dublin-III-VO ist folglich zu prüfen, ob wesentliche Gründe für die Annahme bestehen, das Asylverfahren und die Aufnahmebedingungen für Asylsuchende in Italien würden systemische Schwachstellen aufweisen, die eine Gefahr einer unmenschlichen oder entwürdigenden Behandlung im Sinne des Art. 4 der EU-Grundrechte-charta mit sich bringen würden.</w:t>
      </w:r>
    </w:p>
    <w:p>
      <w:r>
        <w:rPr>
          <w:b/>
        </w:rPr>
        <w:t>E. 7.3</w:t>
      </w:r>
    </w:p>
    <w:p>
      <w:r>
        <w:t>Solche werden nicht vorgetragen und sind - wie nachfolgend erläutert (E. 8.2) - auch nicht notorisch, weshalb die Anwendung von Art. 3 Abs. 2 Satz 2 Dublin-III-VO im vorliegenden Fall nicht gerechtfertigt erscheint.</w:t>
      </w:r>
    </w:p>
    <w:p>
      <w:r>
        <w:rPr>
          <w:b/>
        </w:rPr>
        <w:t>E. 8</w:t>
      </w:r>
    </w:p>
    <w:p>
      <w:r>
        <w:t>Ferner ist der Frage nachzugehen, ob für die Beschwerdeführenden in einer individuellen Betrachtung eine Gefährdung nach Art. 3 EMRK oder sonstigem Völkerrecht aufgezeigt ist, woraus sich - abweichend von Art. 3 Abs. 1 Dublin-III-VO - zwingende Gründe für die Ausübung der Ermes-sensklausel und für einen Selbsteintritt nach Art. 17 Abs. 1 Dublin-III-VO ergeben würden.</w:t>
      </w:r>
    </w:p>
    <w:p>
      <w:r>
        <w:rPr>
          <w:b/>
        </w:rPr>
        <w:t>E. 8.1</w:t>
      </w:r>
    </w:p>
    <w:p>
      <w:r>
        <w:t>Die Beschwerdeführenden beantragen in ihrer Rechtsmitteleingabe, die angefochtene Verfügung sei im Lichte der jüngsten Rechtsprechung des EGMR sowie des darauf aufbauenden BVGE 2015/4 aufzuheben.</w:t>
      </w:r>
    </w:p>
    <w:p>
      <w:r>
        <w:rPr>
          <w:b/>
        </w:rPr>
        <w:t>E. 8.2</w:t>
      </w:r>
    </w:p>
    <w:p>
      <w:r>
        <w:t>Das Bundesverwaltungsgericht ist in BVGE 2015/4 ausführlich auf den Entscheid des EGMR (Tarakhel gegen die Schweiz vom 4. November 2014, Grosse Kammer, Nr. 29217/12) eingegangen. Demnach würden asylsuchende Personen als besonders benachteiligte und verletzliche Gruppe einen speziellen Schutz benötigen, welcher umso wichtiger werde, wenn es sich dabei angesichts ihrer speziellen Bedürfnisse und ihrer Verletzlichkeit um Kinder handle. Angesichts der ernsthaften Zweifel an den aktuellen Kapazitäten der italienischen Aufnahmestrukturen bestehe eine gewisse Wahrscheinlichkeit, dass Dublin-Rückkehrende in Italien keine adäquate Unterkunft vorfinden würden. Daraus folge, dass es eine Verletzung von Art. 3 EMRK darstellen würde, wenn die Schweizer Behörden eine Überstellung von Familien mit Kindern nach Italien vornehmen würden, ohne zuvor von den italienischen Behörden eine individuelle Garantie erhalten zu haben, dass für eine kindgerechte Unterbringung gesorgt sei und die Einheit der Familie gewahrt werde (ebd. E. 4.1). Die einzuholenden individuellen Garantien seien dabei Voraussetzung der völkerrechtlichen Zulässigkeit der Anordnung einer Überstellung und würden nicht eine blosse Überstellungsmodalität darstellen.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w:t>
      </w:r>
    </w:p>
    <w:p>
      <w:r>
        <w:rPr>
          <w:b/>
        </w:rPr>
        <w:t>E. 8.3</w:t>
      </w:r>
    </w:p>
    <w:p>
      <w:r>
        <w:t>Sodann hielt das Bundesverwaltungsgericht im Urteil D 6358/2015 vom 7. April 2016 E. 5.2 (zur Publikation vorgesehen) in Weiterführung der erwähnten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Entscheid fest, dass sich solche Schreiben nicht zur konkreten Unterbringung äussern, sondern lediglich anfügen würden, wohin die Überstellung zu erfolgen habe. Einem solchen Schreiben sei auch nicht ausdrücklich zu entnehmen, dass die Familie in einer SPRAR-Unterkunft untergebracht werde.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erklärte das Gericht, dass die wesentliche Zusicherung darin bestehe,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aufgrund der bestehenden Bedürfnisse auszurichten versuche.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w:t>
      </w:r>
    </w:p>
    <w:p>
      <w:r>
        <w:rPr>
          <w:b/>
        </w:rPr>
        <w:t>E. 8.4</w:t>
      </w:r>
    </w:p>
    <w:p>
      <w:r>
        <w:t>Vorliegend ist in diesem Sinn von einer genügenden Zusicherung auszugehen. In casu geht aus dem Schreiben der italienischen Behörden vom 9. März 2016 hervor, dass die Beschwerdeführenden individuell namentlich und mit Geburtsdatum erwähnt sind und es den Vermerk "nucleo familiare" trägt. Dieses Schreiben stellt demnach eine gemäss dem Entscheid Tarakhel und BVGE 2015/4 geforderte Garantieerklärung der italienischen Behörden dar, weshalb der gegenteilige Einwand nicht verfängt. Ebenfalls als unbegründet erweist sich der Einwand, wonach das Kindeswohl einer Überstellung nach Italien entgegenstehe, zumal sich die Beschwerdeführenden erst seit September 2015 in der Schweiz aufhalten und die Kleinkinder daher noch nicht als derart in der Schweiz verwurzelt gelten können, als dass zwingend ein Selbsteintritt der Schweiz zu erfolgen hätte. Überdies sind die SPRAR-Projekte speziell auch auf die Bedürfnisse Minderjähriger ausgerichtet.</w:t>
      </w:r>
    </w:p>
    <w:p>
      <w:r>
        <w:rPr>
          <w:b/>
        </w:rPr>
        <w:t>E. 8.5</w:t>
      </w:r>
    </w:p>
    <w:p>
      <w:r>
        <w:t>Im Übrigen ist festzuhalten, dass die Rechtsprechung Deutscher Gerichte für die Schweizer Asylbehörden nicht verbindlich ist, und es kann auf die zutreffenden Erwägungen in der vorinstanzlichen Verfügung verwiesen werden. Schliesslich vermögen auch die übrigen Ausführungen auf Beschwerdestufe obige Einschätzung nicht umzustossen.</w:t>
      </w:r>
    </w:p>
    <w:p>
      <w:r>
        <w:rPr>
          <w:b/>
        </w:rPr>
        <w:t>E. 8.6</w:t>
      </w:r>
    </w:p>
    <w:p>
      <w:r>
        <w:t>Zusammenfassend ist somit festzuhalten, dass das vorliegende System von konkreten Zusicherungen unter Namens- und Altersangabe sowie Anerkennung der Familieneinheit, zusammen mit einem (impliziten) Hinweis auf allgemeine Garantien einer familiengerechten Unterbringung in der Form von Rundschreiben (selbst wenn vorliegend nicht auf den neusten Rundbrief vom 15. Februar 2016 hingewiesen wurde), eine hinreichend konkretisierte und individualisierte Zusicherung im Sinne der Anforderungen gemäss BVGE 2015/4 darstellt.</w:t>
      </w:r>
    </w:p>
    <w:p>
      <w:r>
        <w:rPr>
          <w:b/>
        </w:rPr>
        <w:t>E. 8.7</w:t>
      </w:r>
    </w:p>
    <w:p>
      <w:r>
        <w:t>Unter diesen Umständen wurde keine Gefährdung nach Art. 3 EMRK (oder sonstigem Völkerrecht) dargetan.</w:t>
      </w:r>
    </w:p>
    <w:p>
      <w:r>
        <w:rPr>
          <w:b/>
        </w:rPr>
        <w:t>E. 9</w:t>
      </w:r>
    </w:p>
    <w:p>
      <w:r>
        <w:t>Die Beschwerdeführenden fordern sodann in der Rechtsmitteleingabe sinngemäss die Anwendung der Ermessensklausel von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w:t>
      </w:r>
    </w:p>
    <w:p>
      <w:r>
        <w:rPr>
          <w:b/>
        </w:rPr>
        <w:t>E. 9.1</w:t>
      </w:r>
    </w:p>
    <w:p>
      <w:r>
        <w:t>Das Bundesverwaltungsgericht hielt in BVGE 2015/9 fest, dem Gericht komme im Rahmen von Art. 17 Abs. 1 Dublin-III-VO i.V.m. Art. 29a Abs. 3 der Asylverordnung 1 über Verfahrensfragen vom 11. August 1999 (AsylV1, SR 142.311)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9.2</w:t>
      </w:r>
    </w:p>
    <w:p>
      <w:r>
        <w:t>Folglich kommt auch die Ermessenklausel von Art. 17 Dublin-III-VO i.V.m. Art. 29a AsylV1 vorliegend nicht zur Anwendung.</w:t>
      </w:r>
    </w:p>
    <w:p>
      <w:r>
        <w:rPr>
          <w:b/>
        </w:rPr>
        <w:t>E. 10</w:t>
      </w:r>
    </w:p>
    <w:p>
      <w:r>
        <w:t>Das SEM ist demnach zu Recht gestützt auf Art. 31a Abs. 1 Bst. b AsylG auf die Asylgesuche der Beschwerdeführenden nicht eingetreten und hat (in Anwendung von Art. 44 AsylG) ihre Überstellung nach Italien angeordnet.</w:t>
      </w:r>
    </w:p>
    <w:p>
      <w:r>
        <w:rPr>
          <w:b/>
        </w:rPr>
        <w:t>E. 11</w:t>
      </w:r>
    </w:p>
    <w:p>
      <w:r>
        <w:t>Nach dem Gesagten ist die Beschwerde abzuweisen und die Verfügung des SEM zu bestätigen.</w:t>
      </w:r>
    </w:p>
    <w:p>
      <w:r>
        <w:rPr>
          <w:b/>
        </w:rPr>
        <w:t>E. 12</w:t>
      </w:r>
    </w:p>
    <w:p>
      <w:r>
        <w:t>Das Beschwerdeverfahren ist mit vorliegendem Urteil abgeschlossen, weshalb der Antrag auf Gewährung der aufschiebenden Wirkung der Beschwerde gegenstandslos wird.</w:t>
      </w:r>
    </w:p>
    <w:p>
      <w:r>
        <w:rPr>
          <w:b/>
        </w:rPr>
        <w:t>E. 13.1</w:t>
      </w:r>
    </w:p>
    <w:p>
      <w:r>
        <w:t>Bei diesem Ausgang des Verfahrens wären die Kosten dem Beschwerdeführer aufzuerlegen (Art. 63 Abs. 1 VwVG). Indessen ist das Gesuch um Gewährung der unentgeltlichen Prozessführung gutzuheissen, nachdem die Begehren - aufgrund des oben Gesagten - nicht aussichtslos waren. Aufgrund der Akten ist auch von der prozessualen Bedürftigkeit der Beschwerdeführenden auszugehen, weshalb keine Verfahrenskosten aufzuerlegen sind.</w:t>
      </w:r>
    </w:p>
    <w:p>
      <w:r>
        <w:rPr>
          <w:b/>
        </w:rPr>
        <w:t>E. 13.2</w:t>
      </w:r>
    </w:p>
    <w:p>
      <w:r>
        <w:t>Gemäss Art. 65 Abs. 2 VwVG wird einer mittellosen Partei, soweit es zur Wahrung ihrer Rechte notwendig ist, in einem nicht aussichtslosen Verfahren eine Anwältin oder ein Anwalt bestellt. Ausschlaggebend für die Gewährung der unentgeltlichen Rechtsverbeiständung im Sinne von Art. 65 Abs. 2 VwVG ist das Kriterium, ob die Beschwerdeführende Partei zur Wahrung ihrer Rechte notwendigerweise der professionellen juristischen Hilfe eines Anwaltes bedarf (vgl. dazu BGE 128 I 225 E. 2.5.2 S. 232 f.; 122 I 49 E. 2c S. 51 ff.; 120 Ia 43 E. 2a S. 44 ff.). In Verfahren, welche - wie das vorliegende - vom Untersuchungsgrundsatz beherrscht sind, sind strenge Massstäbe an die Gewährung der unentgeltlichen Verbeiständung anzusetzen (vgl. EMARK 2000 Nr. 6 sowie BGE 122 I 8 E. 2c S. 10). Im asylrechtlichen Beschwerdeverfahren sind besondere Rechtskenntnisse zur wirksamen Beschwerdeführung im Regelfall nicht unbedingt erforderlich. Aus diesen Gründen wird die unentgeltliche Verbeiständung im Sinne von Art. 65 Abs. 2 VwVG praxisgemäss nur in den besonderen Fällen gewährt, in welchen in rechtlicher oder tatsächlicher Hinsicht erhöhte Schwierigkeiten bestehen. Das vorliegende Verfahren erscheint weder in tatsächlicher noch in rechtlicher Hinsicht besonders komplex,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