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E-1898/2024 vom 28. Februar 2024</w:t>
      </w:r>
    </w:p>
    <w:p>
      <w:r>
        <w:t>Bundesverwaltungsgericht, 2024-02-28, DE</w:t>
      </w:r>
    </w:p>
    <w:p>
      <w:r>
        <w:rPr>
          <w:b/>
        </w:rPr>
        <w:t xml:space="preserve">Quelle: </w:t>
      </w:r>
      <w:r>
        <w:t>https://mcp.opencaselaw.ch/entscheid/bvger_E-1898_2024_d20240228</w:t>
      </w:r>
    </w:p>
    <w:p>
      <w:r>
        <w:t>FR: TAF E-1898/2024 du 28 février 2024</w:t>
      </w:r>
    </w:p>
    <w:p>
      <w:r>
        <w:t>IT: TAF E-1898/2024 del 28 febbraio 2024</w:t>
      </w:r>
    </w:p>
    <w:p>
      <w:pPr>
        <w:pStyle w:val="Heading2"/>
      </w:pPr>
      <w:r>
        <w:t>Regeste</w:t>
      </w:r>
    </w:p>
    <w:p>
      <w:r>
        <w:t>Asyl und Wegweisung | Asyl und Wegweisung; Verfügung des SEM vom 28. Februar 2024</w:t>
      </w:r>
    </w:p>
    <w:p>
      <w:pPr>
        <w:pStyle w:val="Heading2"/>
      </w:pPr>
      <w:r>
        <w:t>Erwägungen</w:t>
      </w:r>
    </w:p>
    <w:p>
      <w:r>
        <w:rPr>
          <w:b/>
        </w:rPr>
        <w:t>E. 19</w:t>
      </w:r>
    </w:p>
    <w:p>
      <w:r>
        <w:t>März 2024 E. 11.1), dass der Beschwerdeführer gemäss Aktenlage gesund und im erwerbsfä- higen Alter ist, über Arbeitserfahrung verfügt, ein Restaurant geleitet hat und intakte Beziehungen zu Familienmitgliedern in der Türkei unterhält (vgl. SEM-Akte 14/14 F8 ff.; Beschwerde S. 6),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das Gesuch um Akteneinsicht, welches keine Begründung enthält, mit vorliegendem Entscheid ebenfalls gegenstandslos geworden ist, wobei zu erwähnen ist, dass es sich während dem gesamten</w:t>
      </w:r>
    </w:p>
    <w:p>
      <w:r>
        <w:t>E-1898/2024 Seite 8 Beschwerdeverfahren um dieselbe Rechtsvertreterin gehandelt hat und dieser alle Instruktionsmassnahmen des Gerichts zugestellt worden sind,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E-1898/2024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