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E-1896/2024 vom 23. Februar 2024</w:t>
      </w:r>
    </w:p>
    <w:p>
      <w:r>
        <w:t>Bundesverwaltungsgericht, 2024-02-23, DE</w:t>
      </w:r>
    </w:p>
    <w:p>
      <w:r>
        <w:rPr>
          <w:b/>
        </w:rPr>
        <w:t xml:space="preserve">Quelle: </w:t>
      </w:r>
      <w:r>
        <w:t>https://mcp.opencaselaw.ch/entscheid/bvger_E-1896_2024_d20240223</w:t>
      </w:r>
    </w:p>
    <w:p>
      <w:r>
        <w:t>FR: TAF E-1896/2024 du 23 février 2024</w:t>
      </w:r>
    </w:p>
    <w:p>
      <w:r>
        <w:t>IT: TAF E-1896/2024 del 23 febbraio 2024</w:t>
      </w:r>
    </w:p>
    <w:p>
      <w:pPr>
        <w:pStyle w:val="Heading2"/>
      </w:pPr>
      <w:r>
        <w:t>Regeste</w:t>
      </w:r>
    </w:p>
    <w:p>
      <w:r>
        <w:t>Asyl und Wegweisung | Asyl und Wegweisung; Verfügung des SEM vom 23.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Nachdem der einverlangte Kostenvorschuss innert angesetzter Frist be- zahlt wurde, ist auf die Beschwerde einzutreten.</w:t>
      </w:r>
    </w:p>
    <w:p>
      <w:r>
        <w:rPr>
          <w:b/>
        </w:rPr>
        <w:t>E. 1.3</w:t>
      </w:r>
    </w:p>
    <w:p>
      <w:r>
        <w:t>Die Kognition des Bundesverwaltungsgerichts und die zulässigen Rügen richten sich im Asylbereich nach Art. 106 Abs. 1 AsylG, im Bereich des Aus- länderrechts nach Art. 49 VwVG (vgl. BVGE 2014/26 E. 5).</w:t>
      </w:r>
    </w:p>
    <w:p>
      <w:r>
        <w:t>E-1896/2024 Seite 7</w:t>
      </w:r>
    </w:p>
    <w:p>
      <w:r>
        <w:rPr>
          <w:b/>
        </w:rPr>
        <w:t>E. 2</w:t>
      </w:r>
    </w:p>
    <w:p>
      <w:r>
        <w:t>Über offensichtlich unbegründete Beschwerden wird in einzelrichterlicher Zuständigkeit mit Zustimmung eines zweiten Richters entschieden (Art. 111 Bst. e AsylG). Wie nachstehend aufgezeigt wird, handelt es sich vorliegend um ein solches Rechtsmittel, weshalb das Urteil nur summa- risch zu begründen ist (Art. 111a Abs. 2 AsylG). Gestützt auf Art. 111a Abs. 1 AsylG wurde auf die Durchführung eines Schriftenwechsels verzich- tet.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ihren ablehnenden Asylentscheid mit der mangelnden asylrechtlichen Relevanz der geltend gemachten Vorbringen der Beschwerdeführenden.</w:t>
      </w:r>
    </w:p>
    <w:p>
      <w:r>
        <w:rPr>
          <w:b/>
        </w:rPr>
        <w:t>E. 4.1.1</w:t>
      </w:r>
    </w:p>
    <w:p>
      <w:r>
        <w:t>Die Vorinstanz hielt in Bezug auf die Beschwerdeführerin fest, der eingereichte Vorführbeschluss sowie Vorführbefehl würde über keinerlei verifizierbare Sicherheitsmerkmale verfügen. Diese Dokumente seien fäl- schungsanfällig und es sei bekannt, dass diese in der Türkei problemlos gegen Entgelt beschafft werden könnten, sei es via professionelle Fälscher oder auch via korrupte Justizangestellte. Vor diesem Hintergrund und des geringen Beweiswertes der eingereichten Dokumente könne auf die Prü- fung objektiver Fälschungsmerkmale verzichtet werden. Trotzdem</w:t>
      </w:r>
    </w:p>
    <w:p>
      <w:r>
        <w:t>E-1896/2024 Seite 8 bestünden aber Zweifel an der Echtheit der Dokumente. So falle auf, dass im Antrag auf Vorführbefehl der (…) 2022 – respektive der (…) 2022 in ihrer eingereichten Übersetzung – als ihr Ausreisedatum genannt werde. Dem- gegenüber habe die Beschwerdeführerin angegeben, sie sei erst am (…) 2022 aus der Türkei ausgereist. Aufgrund ihrer illegalen Ausreise stelle sich ohnehin die Frage, wie die türkischen Behörden überhaupt ein genaues Ausreisedatum kennen sollten.</w:t>
      </w:r>
    </w:p>
    <w:p>
      <w:r>
        <w:rPr>
          <w:b/>
        </w:rPr>
        <w:t>E. 4.1.2</w:t>
      </w:r>
    </w:p>
    <w:p>
      <w:r>
        <w:t>Gemäss den Beweismitteln sei ein Ermittlungs-/Untersuchungsver- fahren wegen Propaganda für eine terroristische Organisation eingeleitet worden. Einen konkreten Strafvorwurf habe die Beschwerdeführerin in der Anhörung indes nicht benennen können. Die vorliegenden Beweismittel könnten – selbst bei Wahrunterstellung – bloss zeigen, dass gegen die Be- schwerdeführerin ein staatsanwaltliches Ermittlungs-/Untersuchungsver- fahren, jedoch kein Gerichtsverfahren eröffnet worden sei. Praxisgemäss komme diesem noch keine Asylrelevanz zu. In der Türkei würden Ermitt- lungs-/Untersuchungsverfahren oft in teils hoher Zahl eingeleitet, häufig aber wieder eingestellt. Vor diesem Hintergrund und unter Hinweis auf die Gerichtspraxis sei offen, ob die Ermittlungen/Untersuchungen in absehba- rer Zeit überhaupt je zu einer Anklageerhebung, zur Eröffnung eines Ge- richtsverfahrens oder einer späteren Verurteilung der Beschwerdeführerin aus einem flüchtlingsrechtlich relevanten Motiv führten.</w:t>
      </w:r>
    </w:p>
    <w:p>
      <w:r>
        <w:rPr>
          <w:b/>
        </w:rPr>
        <w:t>E. 4.1.3</w:t>
      </w:r>
    </w:p>
    <w:p>
      <w:r>
        <w:t>Hinsichtlich des eingereichten Haftbefehls sei festzustellen, dass es sich dabei formell nicht um einen Haftbefehl, sondern bloss um einen Vor- führbefehl und einen Vorführbeschuss handle, deren Zweck es sei, die Be- schwerdeführerin zu befragen und danach wieder freizulassen.</w:t>
      </w:r>
    </w:p>
    <w:p>
      <w:r>
        <w:rPr>
          <w:b/>
        </w:rPr>
        <w:t>E. 4.1.4</w:t>
      </w:r>
    </w:p>
    <w:p>
      <w:r>
        <w:t>Es könne zwar nicht ausgeschlossen werden, dass die Beschwerde- führerin wegen ihrem Engagement für die HDP in Vergangenheit tatsäch- lich schikaniert und observiert worden sei, auch wenn es sich um eine le- gale Partei handle. Die von ihr geltend gemachten Tätigkeiten für die HDP genügten indes nicht, um eine begründete Furcht vor einer zukünftigen flüchtlingsrechtlich relevanten Verfolgung anzunehmen, zumal sie keine exponierte Stellung innegehabt habe.</w:t>
      </w:r>
    </w:p>
    <w:p>
      <w:r>
        <w:rPr>
          <w:b/>
        </w:rPr>
        <w:t>E. 4.1.5</w:t>
      </w:r>
    </w:p>
    <w:p>
      <w:r>
        <w:t>Diese Schlussfolgerung gelte trotz des Verbots der DTP durch ein Urteil des türkischen Verfassungsgerichts vom Dezember 2009. Mittler- weile seien als Nachfolgeparteien die neu gegründeten DBP (früher BDP) und HDP formell legal tätig. Ähnlich wie bei den früheren Verboten der Vor- gängerparteien DEHAP und HADEP hätten namentlich einfache</w:t>
      </w:r>
    </w:p>
    <w:p>
      <w:r>
        <w:t>E-1896/2024 Seite 9 Parteimitglieder lediglich wegen ihrer damals legal gewesenen politischen Betätigung für die DTP nicht mit einer nachträglichen strafrechtlichen Ver- folgung oder mit sonstigen ernsthaften Nachteilen zu rechnen.</w:t>
      </w:r>
    </w:p>
    <w:p>
      <w:r>
        <w:rPr>
          <w:b/>
        </w:rPr>
        <w:t>E. 4.1.6</w:t>
      </w:r>
    </w:p>
    <w:p>
      <w:r>
        <w:t>Weiter hielt die Vorinstanz in Bezug auf den Beschwerdeführer fest, es gebe keine konkreten Hinweise, dass er aufgrund seines Engagements (Füllen von Sandsäcken) im Nachgang zu den Ereignissen im Jahr 2016 ins Visier der Polizei gekommen wäre. Hinzu komme, dass er sich niemals für eine Partei politisch engagiert habe. Deshalb sei nicht damit zu rechnen, dass er flüchtlingsrechtlich relevanten Verfolgungsmassnahmen ausge- setzt sein werde.</w:t>
      </w:r>
    </w:p>
    <w:p>
      <w:r>
        <w:rPr>
          <w:b/>
        </w:rPr>
        <w:t>E. 4.1.7</w:t>
      </w:r>
    </w:p>
    <w:p>
      <w:r>
        <w:t>Eine flüchtlingsrechtlich relevante Verfolgung liege grundsätzlich nicht vor, wenn staatliche Massnahmen rechtsstaatlich legitimen Zwecken dienten. Solche Massnahmen seien nur dann asylrelevant, wenn die Strafe aus einem der in Art. 3 Abs. 1 AsylG genannten Gründe deutlich höher als bei anderen ausfalle (relativer Malus) oder unverhältnismässig streng sei und in keinem Verhältnis zum kriminellen Unrecht stehe (absoluter Malus). Die Strafe wegen Haschischbesitz sei nicht mit einem Politmalus behaftet. Er habe selbst eingeräumt, dass es sich um eine rechtsstaatlich legitime Massnahme handle. Ferner sei nicht ersichtlich, dass ihm bei einer Rück- kehr eine deutlich höhere Strafe als bei anderen drohte oder diese in kei- nem Verhältnis zum kriminellen Unrecht stünde.</w:t>
      </w:r>
    </w:p>
    <w:p>
      <w:r>
        <w:rPr>
          <w:b/>
        </w:rPr>
        <w:t>E. 4.1.8</w:t>
      </w:r>
    </w:p>
    <w:p>
      <w:r>
        <w:t>Hinsichtlich der weiteren Vorbringen (Beschimpfungen, Erniedrigun- gen, Einsatz von Wasserwerfern und Pfeffersprays, Festhaltung auf dem Polizeiposten) sei festzuhalten, dass Angehörige der kurdischen Bevölke- rung bekanntermassen in der Türkei Schikanen und Benachteiligungen ausgesetzt seien. Hierbei handle es sich jedoch nicht um ernsthafte Nach- teile im Sinne des Asylgesetzes, die einen Verbleib im Heimatland verun- möglichten oder unzumutbar erschwerten. Die allgemeine Situation, in der sich die kurdische Bevölkerung befinde, führe jedoch gemäss gefestigter Praxis nicht zur Anerkennung der Flüchtlingseigenschaft. Diese Einschät- zung gelte trotz der sich nach dem Putschversuch im Juli 2016 allgemein verschlechternden Menschenrechtslage, von der auch die Kurden, insbe- sondere im Südosten der Türkei, betroffen seien. Auch die im vorliegenden Fall geltend gemachten Schikanen und Beleidigungen gingen in ihrer In- tensität nicht über die Nachteile hinaus, welche weite Teile der kurdischen Bevölkerung in der Türkei in ähnlicher Weise betreffen könnten.</w:t>
      </w:r>
    </w:p>
    <w:p>
      <w:r>
        <w:t>E-1896/2024 Seite 10</w:t>
      </w:r>
    </w:p>
    <w:p>
      <w:r>
        <w:rPr>
          <w:b/>
        </w:rPr>
        <w:t>E. 4.2</w:t>
      </w:r>
    </w:p>
    <w:p>
      <w:r>
        <w:t>In ihrer Rechtsmitteleingabe wiederholten die Beschwerdeführenden zunächst in der Hauptsache den bereits bekannten Sachverhalt und brin- gen hiernach Rügen zu den nachfolgenden Aspekten vor.</w:t>
      </w:r>
    </w:p>
    <w:p>
      <w:r>
        <w:rPr>
          <w:b/>
        </w:rPr>
        <w:t>E. 4.2.1</w:t>
      </w:r>
    </w:p>
    <w:p>
      <w:r>
        <w:t>In formeller Hinsicht rügten sie eine Verletzung des rechtlichen Ge- hörs, weil die Transkriptionen und Übersetzungen der zitierten türkischen Quellen nicht im Aktenverzeichnis ersichtlich und zur Einsicht zugestellt worden seien. Die Vorinstanz hätte eine sorgfältige Analyse der eingereich- ten Dokumente vornehmen und ihnen das rechtliche Gehör gewähren müssen, sofern sie von Fälschungen ausgegangen sei. Ausserdem sei die Begründungspflicht verletzt, da die angeführten Gerichtsentscheide hin- sichtlich der Asylrelevanz von Ermittlungsverfahren nicht einschlägig seien. Die Ausführungen der Vorinstanz zum geringen Beweiswert türkischer Jus- tizdokumente seien nicht überzeugend, zumal es sich hierbei um einen Textblock mit dürftigen Quellen handle. Die Vorinstanz habe nicht berück- sichtigt, dass ihr als Kurdin eine erhöhte Gefahr eines Schuldspruchs drohe. Ferner sei das Kindeswohl nicht angemessen geprüft worden.</w:t>
      </w:r>
    </w:p>
    <w:p>
      <w:r>
        <w:rPr>
          <w:b/>
        </w:rPr>
        <w:t>E. 4.2.2</w:t>
      </w:r>
    </w:p>
    <w:p>
      <w:r>
        <w:t>In materieller Hinsicht monierten sie, die Vorinstanz unterscheide im angefochtenen Entscheid nicht zwischen zwei Sachverhalten (Teilnahme an einem Newroz-Fest [in der Türkei] und an einer Demonstration [in der Schweiz]), welche asylrechtlich relevant seien. Der dem Haftbefehl zugrun- deliegende Sachverhalt habe sich in der Schweiz ereignet. Es sei nicht da- mit zu rechnen, dass sie (die Beschwerdeführerin) nach einer Befragung wieder freigelassen werde, da sie sich auch in der Schweiz für die kurdi- sche Sache einsetze und der Wortlaut des Vorführbefehls aus ihrer Sicht nicht ausreichend klar sei. Überdies sei unklar, wie sich das Verfahren im Zusammenhang mit dem Newroz-Fest im Jahr 2022 entwickeln werde, da ihre Freundin bereits verurteilt worden sei.</w:t>
      </w:r>
    </w:p>
    <w:p>
      <w:r>
        <w:rPr>
          <w:b/>
        </w:rPr>
        <w:t>E. 4.2.3</w:t>
      </w:r>
    </w:p>
    <w:p>
      <w:r>
        <w:t>Den geäusserten Zweifel an der Echtheit der Dokumente entgegne- ten sie, dass der Haftbefehl datierend vom (…) 2023 korrekterweise den (…) 2022 als Ausreisedatum bezeichnet habe. Dass die Übersetzung den (…) 2022 nenne, sei auf eine einfache Verwechslung des Monats und des Tages bei der Übersetzungsarbeit zurückzuführen ([…]). Dass sie an der Anhörung ein völlig anderes Datum angegeben habe sei ihr nicht vorzu- werfen. Auch liege es nicht an ihr, die Frage zu beantworten, wie die türki- schen Behörden ein genaues Ausreisedatum überhaupt hätten kennen können.</w:t>
      </w:r>
    </w:p>
    <w:p>
      <w:r>
        <w:t>E-1896/2024 Seite 11</w:t>
      </w:r>
    </w:p>
    <w:p>
      <w:r>
        <w:rPr>
          <w:b/>
        </w:rPr>
        <w:t>E. 4.3</w:t>
      </w:r>
    </w:p>
    <w:p>
      <w:r>
        <w:t>In der Vernehmlassung vom 9. Oktober 2024 führte die Vorinstanz aus, die auf Rechtsmittelebene eingereichten Dokumente (das Hausdurchsu- chungsprotokoll und der Festnahmebefehl) seien einer vertieften Prüfung unterzogen worden. Die amtsinterne Analyse habe ergeben, dass es sich eindeutig um Fälschungen handle. Das Hausdurchsuchungsprotokoll könne nach türkischem Recht gar nicht von der aufgeführten Behörde aus- gestellt werden. Es fehlten wesentliche Angaben zum Unterzeichner. Wei- ter seien auch Manipulationsspuren vorhanden. Weiter entspreche die auf dem Festnahmebefehl aufgeführte Referenznummer nicht der üblichen Praxis der türkischen Justizorgane und es seien wesentliche Angaben zum Unterzeichner nicht korrekt. Der Umstand, dass ein Vorführbefehl des Strafgerichts für schwere Straftaten K._______ (datierend vom […] 2022) vorliege, würde darauf hindeuten, dass bereits ein Gerichtsverfahren ein- geleitet worden sei. Dies widerspreche der Angabe der Beschwerdeführe- rin, wonach sie aufgrund eines Geheimhaltungsbeschlusses keinen Zu- gang zu Verfahren habe, da dieser nur für die Ermittlungsphase gültig sei. Im Übrigen habe sie den Geheimhaltungsbeschluss trotz Aufforderung nie eingereicht. Dass die auf Rechtsmittelstufe eingereichten Dokumente nicht authentisch seien, werde durch den Umstand bestärkt, dass gegen den Beschwerde- führer ein Strafbefehl wegen Fälschung von Ausweisen ergangen sei. Da- mit habe er gezeigt, dass er gewillt sei, gefälschte Unterlagen zu beschaf- fen und damit die Schweizer Behörden zu täuschen. Die Beschwerdeführerin als auch ihr heimatlicher Rechtsanwalt hätten das das Verfahren (…) stets auf die Teilnahme am Newroz-Fest am (…) 2022 bezogen. Demgegenüber führe der eingereichte Beschluss in sonstiger Sache mit der Ermittlungsnummer (…) als Grund für das Verfahren die Teil- nahme an einer Demonstration in L._______ am (…) 2022 auf. Dieser Um- stand widerspreche sowohl den Aussagen der Beschwerdeführerin als auch ihres türkischen Rechtsanwalts. Es sei wenig glaubhaft, dass ihr tür- kischer Rechtsanwalt keine Übersicht über die laufenden Verfahren seiner Klienten habe. Weiter werfe es Zweifel auf, dass sich die Beschwerdeführerin nicht hinrei- chend zu dem angeblichen Strafverfahren mit der Ermittlungsnummer (…) wegen der Propaganda für eine terroristische Organisation habe äussern können, welches ihr türkischer Anwalt in seinem Schreiben vom (…) 2024 vorgebracht habe.</w:t>
      </w:r>
    </w:p>
    <w:p>
      <w:r>
        <w:t>E-1896/2024 Seite 12 Die Vorinstanz führt weiter unter Hinweis auf die Kasuistik aus, die in der angefochtenen Verfügung angeführten türkischen Quellen seien öffentlich zugänglich und leicht abrufbar. Eine weitergehende Einsicht in die getätig- ten Transkriptionen und Übersetzungen sei nicht notwendig, da die Be- schwerdeführenden die türkische Sprache beherrschten und wesentliche Inhalte der Quellen auch in den Schweizer Medien thematisiert worden seien. Dem rechtsmittelweise eingereichten Auszug von UYAP komme mangels Datumsangabe und fehlender Nennung der Beschwerdeführerin kein Beweiswert zu. Das Schreiben des Bürgermeisters sei als Gefällig- keitsschreiben einzustufen, welches nur einen geringen Beweiswert habe.</w:t>
      </w:r>
    </w:p>
    <w:p>
      <w:r>
        <w:rPr>
          <w:b/>
        </w:rPr>
        <w:t>E. 4.4</w:t>
      </w:r>
    </w:p>
    <w:p>
      <w:r>
        <w:t>In der Replik vom 21. November 2024 bestritten die Beschwerdefüh- renden, dass das Hausdurchsuchungsprotokoll und der Festnahmebefehl gefälscht seien. Da in erster Linie die Polizei – ohne Mitwirkung eines Staatsanwalts oder einer Staatsanwältin – Hausdurchsuchungen durch- führe, stelle sie dementsprechend auch Hausdurchsuchungsprotokolle aus. Die Dokumente seien mit einer elektronischen Unterschrift versehen und damit rechtsgültig signiert. Den Festnahmebefehl habe ein Sachbear- beiter und der Präsident/Vorsitzende unterzeichnet. Auf dem Hausdurch- suchungsprotokoll sei bei der Unterschriftenzeile ein Vor- und Nachname angegeben. Damit sei unklar, weshalb die Vorinstanz davon ausgehe, die Unterzeichnenden hätten die Dokumente nicht ausstellen können. Sie und ihr türkischer Rechtsanwalt seien zunächst von einem Verfahren ausgegangen, weil sie keine Einsicht in die Dokumente gehabt hätten. Erst nach der Anhörung habe sie von einer Ermittlung wegen der Teilnahme an einer Demonstration in L._______ im (…) 2022 erfahren. Dass sie das Ver- fahren (…) mit der Newroz-Festteilnahme in Verbindung gebracht habe, könne ihr nicht vorgeworfen werden. Die türkische Justiz sei intransparent und es könne Monate dauern bis die relevanten Dokumente auf UYAP er- sichtlich seien. Der dem Verfahren (…) zugrunde liegende Sachverhalt sei immer noch unklar. Weil sie im Ausland sei, sei das Einsichtsrecht einge- schränkt, unabhängig davon, ob es sich um ein Ermittlungs- oder bereits um ein Gerichtsverfahren handle. Schliesslich befinde sich das Verfahren mit der Ermittlungsnummer (…) aufgrund der eingereichten Anklageschrift nicht mehr in der Ermittlungs- phase. Weiter sei zu beachten, dass das weitere Verfahren mit der Ermitt- lungsnummer (…) noch hängig sei und sie nicht mehr als Ersttäterin gelte.</w:t>
      </w:r>
    </w:p>
    <w:p>
      <w:r>
        <w:t>E-1896/2024 Seite 13</w:t>
      </w:r>
    </w:p>
    <w:p>
      <w:r>
        <w:rPr>
          <w:b/>
        </w:rPr>
        <w:t>E. 4.5</w:t>
      </w:r>
    </w:p>
    <w:p>
      <w:r>
        <w:t>In der ergänzenden Vernehmlassung vom 6. Januar 2025 hielt die Vor- instanz fest, die Akteneinsicht könne gemäss der türkischen Strafprozess- ordnung nur während der Ermittlungsphase beschränkt werden. Während der Gerichtsphase hätte die betroffene Person als auch die Rechtsvertre- tung Zugriff auf die relevanten Justizdokumente. Daher sei ihre Aussage in der Replik vom 21. November 2024 nicht stimmig. Auf der eingereichten Bildschirmaufnahme ihres UYAP-Kontos sei lediglich eine standardisierte Mitteilung über eine fehlende Zugriffsberechtigung er- sichtlich, welche aus verschiedenen Gründen angezeigt werden könne. Bezüglich das angebliche Verfahren (…) habe sie ein einziges Dokument eingereicht, welches eindeutig als Fälschung identifiziert worden sei. Die Prüfung der Anklageschrift (im Verfahren mit der Ermittlungsnummer […]) und des gerichtlichen Anhörungsprotokolls weise einige fragliche Elemen- ten auf; wobei aber keine eindeutige Fälschungsmerkmale eruiert werden konnten. Die Frage nach der Authentizität könne indes offenbleiben, da es – unter Hinweis auf die Gerichtspraxis – auch bei Vorliegen einer Anklage- schrift offen sei, ob die bisher unbescholtene Beschwerdeführerin, die nur ein niederschwelliges politisches Profil aufweise, verurteilt würde und diese Verurteilung von den Rechtsmittelinstanzen Bestand hätte.</w:t>
      </w:r>
    </w:p>
    <w:p>
      <w:r>
        <w:rPr>
          <w:b/>
        </w:rPr>
        <w:t>E. 4.6</w:t>
      </w:r>
    </w:p>
    <w:p>
      <w:r>
        <w:t>In der ergänzenden Replik vom 28. Januar 2025 bestritten die Be- schwerdeführenden weiterhin die Fälschungsvorwürfe. Hinsichtlich des Verfahrens (…) führen sie aus, es erhöhe sich die Wahrscheinlichkeit einer Verurteilung zu einer unbedingten Freiheitsstrafe aufgrund des Vorliegens zweier Strafverfahren.</w:t>
      </w:r>
    </w:p>
    <w:p>
      <w:r>
        <w:rPr>
          <w:b/>
        </w:rPr>
        <w:t>E. 5</w:t>
      </w:r>
    </w:p>
    <w:p>
      <w:r>
        <w:t>Die verfahrensrechtlichen Rügen, die Vorinstanz habe den Anspruch auf rechtliches Gehör beziehungsweise die Begründungspflicht und den Un- tersuchungsgrundsatz verletzt, erweisen sich, wie nachfolgend aufgezeigt, als unbegründet.</w:t>
      </w:r>
    </w:p>
    <w:p>
      <w:r>
        <w:rPr>
          <w:b/>
        </w:rPr>
        <w:t>E. 5.1</w:t>
      </w:r>
    </w:p>
    <w:p>
      <w:r>
        <w:t>Die Vorinstanz hat sich in der angefochtenen Verfügung mit den zent- ralen Vorbringen der Beschwerdeführenden (geltend gemachte strafrecht- liche Verfahren, Engagement für die HDP, Behelligungen sowie die einge- reichten Beweismittel) auseinandergesetzt und ihre Verfügung unter An- gabe von Quellen hinreichend begründet, womit eine Verletzung der Be- gründungspflicht zu verneinen ist. Aus der Verfügung geht hervor, dass die Vorinstanz die eingereichten Beweismittel (im Verfügungszeitpunkt) nicht</w:t>
      </w:r>
    </w:p>
    <w:p>
      <w:r>
        <w:t>E-1896/2024 Seite 14 als gefälscht eingestuft hat, sondern lediglich auf den geringen Beweiswert solcher Dokumente verwiesen hat, da diese einfach fälschbar seien. Die Frage nach deren Authentizität hat sie im Lichte der fehlenden Asylrele- vanz offen gelassen. Angesichts dieser Schlussfolgerung ist nicht zu bean- standen, dass sie bezüglich des eingeleiteten Ermittlungsverfahrens keine Echtheitsprüfung der diesbezüglichen Justizdokumente vorgenommen hat. Auch der von der Vorinstanz vorgenommene allgemeine Hinweis, wo- nach in der Türkei verschiedene Ermittlungs- und Strafverfahren oft in ho- her Zahl eingeleitet, aber auch wieder eingestellt werden, ist nicht zu be- anstanden und wurde auch seitens des Gerichts bereits mehrfach in dieser Form ausgeführt (vgl. hierzu beispielsweise Urteile des BVGer D-1826/2020 vom 15. Januar 2024 E. 6.5.2.3, D-3961/2024 vom 18. Juli 2024 E. 6.1, E. 7). Angesichts der vertieften Auseinandersetzung mit den Vorbringen der Beschwerdeführenden ist auch nicht zu beanstanden, dass die Vorinstanz für die Begründung Textbausteine verwendet hat. Weiter war die Vorinstanz nicht gehalten, noch weitergehend Wegweisungsvoll- zugshindernisse im Zusammenhang mit dem Kindeswohl abzuklären. Aus der angefochtenen Verfügung geht hinreichend hervor, dass die Tochter gemeinsam mit den Eltern in die Heimat zurückkehren kann und in der Hei- mat nicht auf sich alleine gestellt sein wird (vgl. auch nachfolgend E. 7.3.5). Im Übrigen stellt der Umstand, dass die Beschwerdeführenden mit den Schlussfolgerungen der Vorinstanz nicht einverstanden sind, keine Verlet- zung der Begründungspflicht dar, sondern beschlägt vielmehr die Frage der materiellen Würdigung.</w:t>
      </w:r>
    </w:p>
    <w:p>
      <w:r>
        <w:rPr>
          <w:b/>
        </w:rPr>
        <w:t>E. 5.2</w:t>
      </w:r>
    </w:p>
    <w:p>
      <w:r>
        <w:t>Bei den in der angefochtenen Verfügung aufgeführten Quellen handelt es sich um türkische Medienberichte, welche öffentlich zugänglich und leicht abrufbar sind. Eine weitergehende Einsicht in die vorinstanzlichen Transkriptionen und Übersetzungen dieser Quellen ist nicht notwendig, da die Beschwerdeführenden die türkische Sprache beherrschen und der we- sentliche Inhalt der Quellen (türkische Justizdokumente können in der Tür- kei problemlos gegen Entgelt beschafft werden) auch schon in Schweizer Medien thematisiert wurde (vgl. bspw. Tages-Anzeiger vom 11. Dezember 2023, Türken sollen mit falschen Haftbefehlen Asyl bekommen haben - SEM widerspricht [https://www.tagesanzeiger.ch/flucht-in-die-schweiz-tu- erken-sollen-mit-falschen-haftbefehlen-asyl-bekommen-haben-sem-wi- derspricht-496531975036, besucht am 19. März 2025]; Aargauer Zeitung vom 11. Dezember 2023, Asylschwindel mit Fake-Haftbefehlen: Ein türki- scher Flüchtling erzählt [https://www.aargauer-zeitung.ch/schweiz/asyl- asylschwindel-mit-fake-haftbefehlen-ein-tuerkischer-fluechtling-erzaehlt- ld.2549733?reduced=true, besucht am 19. März 2025]). In diesem Sinne</w:t>
      </w:r>
    </w:p>
    <w:p>
      <w:r>
        <w:t>E-1896/2024 Seite 15 handelt es sich beim Inhalt der Quellen um öffentlich bekannte Tatsachen (vgl. Urteil BVGer E-3860/2024 vom 26. August 2024 E. 3.2.2). Vor diesem Hintergrund ist eine Gehörsverletzung mangels Einsichtsge- währung in allfällige vom SEM angefertigten Transkriptionen und Überset- zungen der in der Verfügung zitierten Quellen zu verneinen.</w:t>
      </w:r>
    </w:p>
    <w:p>
      <w:r>
        <w:rPr>
          <w:b/>
        </w:rPr>
        <w:t>E. 5.3</w:t>
      </w:r>
    </w:p>
    <w:p>
      <w:r>
        <w:t>Eine Rückweisung an die Vorinstanz fällt somit ausser Betracht. Das Subeventualbegehren ist abzuweisen. Das Begehren um Übersetzung der mit der Beschwerde eingereichten Beweismittel (Schreiben des Bürger- meisters und der UYAP-Auszug) ist ebenfalls abzuweisen, da sich die Vor- instanz in der Vernehmlassung hinlänglich zu deren tiefen Beweiswert ge- äussert hat (vgl. E. 4.3) und vor diesem Hintergrund von einer Übersetzung abgesehen werden kann.</w:t>
      </w:r>
    </w:p>
    <w:p>
      <w:r>
        <w:rPr>
          <w:b/>
        </w:rPr>
        <w:t>E. 6</w:t>
      </w:r>
    </w:p>
    <w:p>
      <w:r>
        <w:t>Nach Prüfung der Akten gelangt das Gericht in der Sache zu der Erkennt- nis, dass das SEM die Vorbringen der Beschwerdeführenden zu Recht als nicht asylrelevant eingestuft hat. Zur Vermeidung von Wiederholungen kann neben beschwerdebezogenen Ergänzungen auf die zutreffenden Ausführungen in der angefochtenen Verfügung (vgl. E. 4.1) verwiesen wer- den.</w:t>
      </w:r>
    </w:p>
    <w:p>
      <w:r>
        <w:rPr>
          <w:b/>
        </w:rPr>
        <w:t>E. 6.1</w:t>
      </w:r>
    </w:p>
    <w:p>
      <w:r>
        <w:t>Die Vorinstanz hat einlässlich begründet, weshalb sie bei den rechts- mittelweise eingereichten Dokumenten (Haftbefehl im Verfahren mit der Er- mittlungsnummer […] sowie Hausdurchsuchung- und Festnahmebefehl vom […] 2022) von Fälschungen ausgeht (vgl. 4.3). Das Bundesverwal- tungsverwaltungsgericht teilt diese Einschätzung. Die interne Dokumentenanalyse der Vorinstanz vom 24. September 2024 wurde sorgfältig durchgeführt und die Vorinstanz kommt aufgrund der darin festgehaltenen Ergebnisse zu Recht zum Schluss, dass bei den analysier- ten Dokumenten eindeutige Fälschungsmerkmale vorliegen. In der Replik bestreiten dies die Beschwerdeführenden zwar. Argumente, die geeignet wären, hinsichtlich der Frage nach deren Authentizität allenfalls zu einer von derjenigen der Vorinstanz abweichenden Einschätzung zu gelangen, tragen sie jedoch nicht vor.</w:t>
      </w:r>
    </w:p>
    <w:p>
      <w:r>
        <w:rPr>
          <w:b/>
        </w:rPr>
        <w:t>E. 6.2</w:t>
      </w:r>
    </w:p>
    <w:p>
      <w:r>
        <w:t>Bei Unterstellung der Authentizität der weiteren Beweismittel sind ins- gesamt zwei Verfahren (mit den Ermittlungsnummern […] und […]) gegen die Beschwerdeführerin hängig:</w:t>
      </w:r>
    </w:p>
    <w:p>
      <w:r>
        <w:t>E-1896/2024 Seite 16</w:t>
      </w:r>
    </w:p>
    <w:p>
      <w:r>
        <w:rPr>
          <w:b/>
        </w:rPr>
        <w:t>E. 6.2.1</w:t>
      </w:r>
    </w:p>
    <w:p>
      <w:r>
        <w:t>Vorab ist festzuhalten, dass die Vorinstanz das geltend gemachte Verfahren mit der Ermittlungsnummer (…) wegen Propaganda für eine ter- roristische Organisation nicht unter dem Gesichtspunkt von Vorfluchtgrün- den, sondern bloss unter subjektiven Nachfluchtgründen im Sinne von Art. 54 AsylG zu prüfen gehabt hätte. Dies zumal sich der Vorführbeschluss auf die Teilnahme an einer Demonstration in L._______ am (…) 2022 bezieht und die Beschwerdeführenden gemäss eigenen Bekunden am (…) 2022 aus der Türkei ausgereist sind (vgl. act. 5 ID-007; vgl. act. 34, F33). Dass die Beschwerdeführerin hieraus Rechtsnachteile erlitten hätte, ist indes nicht ersichtlich. Die Prüfung ihrer Vorbringen unter dem Gesichtspunkt von Vorfluchtgründen anstelle von Nachfluchtgründen hätte für die Beschwer- deführerin bei einer hypothetisch unterstellten Asylrelevanz gar zu einem günstigeren Ergebnis geführt.</w:t>
      </w:r>
    </w:p>
    <w:p>
      <w:r>
        <w:rPr>
          <w:b/>
        </w:rPr>
        <w:t>E. 6.2.2</w:t>
      </w:r>
    </w:p>
    <w:p>
      <w:r>
        <w:t>Das Verfahren mit der Ermittlungsnummer (…) wegen Propaganda für eine terroristische Organisation befindet sich in der Ermittlungsphase. Dies geht aus Dokumenten hervor, die anlässlich des vorinstanzlichen Ver- fahrens eingereicht wurden (vgl. Sachverhalt B.c). In diesem Zusammen- hang ist festzuhalten, dass gemäss Rechtsprechung des Bundesverwal- tungsgerichts in der Türkei hängige staatsanwaltschaftliche Ermittlungs- verfahren wegen Propaganda für eine terroristische Organisation für sich allein genommen nicht zur Anerkennung der Flüchtlingseigenschaft führen (vgl. Referenzurteil E-4103/2024 vom 8. November 2024 E. 8.7.3 und E. 8.8).</w:t>
      </w:r>
    </w:p>
    <w:p>
      <w:r>
        <w:rPr>
          <w:b/>
        </w:rPr>
        <w:t>E. 6.2.3</w:t>
      </w:r>
    </w:p>
    <w:p>
      <w:r>
        <w:t>Das Verfahren mit der Ermittlungsnummer (…) wegen Propaganda für eine terroristische Organisation befindet sich in der Prozessphase. Diesbezüglich liegt eine Anklageschrift vor (vgl. Sachverhalt I). Gemäss dieser wurde von der Staatsanwaltschaft K._______ am (…) 2024 Anklage erhoben. In diesem Kontext reichte die Beschwerdeführerin weiter zwei Schreiben des Strafgerichts für schwere Straftaten K._______ vom (…) 2024 und (…) 2024 über Verhandlungsverschiebungen sowie ein Schrei- ben der Staatsanwaltschaft K._______ über das andauernde Strafverfah- ren ins Recht (vgl. Sachverhalt I und K). Es ist aber selbst bei Annahme des Vorliegens einer gerichtlichen Vorladung unklar, ob sie in der Folge mit beachtlicher Wahrscheinlichkeit in absehbarer Zukunft durch dieses Straf- gericht verurteilt würde und dieser Strafentscheid auch vor den innerstaat- lichen Rechtsmittelinstanzen Bestand hätte, zumal lediglich ein Bruchteil der in der Türkei angestrengten Ermittlungsverfahren wegen Propaganda für eine terroristische Organisation mit einer Verurteilung oder gar einer Haftstrafe enden. Eine mit einem Politmalus behaftete Strafverfolgung der</w:t>
      </w:r>
    </w:p>
    <w:p>
      <w:r>
        <w:t>E-1896/2024 Seite 17 Beschwerdeführerin erscheint aufgrund ihres niederschwelligen politi- schen Profils sowie mangels Vorstrafen wenig wahrscheinlich und ist ent- sprechend zu verneinen (vgl. wiederum Referenzurteil des BVGer E- 4103/2024 vom 8. November 2024 E. 8 m.w.H.).</w:t>
      </w:r>
    </w:p>
    <w:p>
      <w:r>
        <w:rPr>
          <w:b/>
        </w:rPr>
        <w:t>E. 6.2.4</w:t>
      </w:r>
    </w:p>
    <w:p>
      <w:r>
        <w:t>Nach dem Gesagten ergeben sich gestützt auf die beiden Verfahren mit den Ermittlungsnummern (…) und (…) keine begründete Furcht vor mit beachtlicher Wahrscheinlichkeit in absehbarer Zukunft eintretenden Verfol- gungsmassnahmen gemäss Art. 3 Abs. 1 und Abs. 2 AsylG (vgl. Referenz- urteil BVGer E-4103/2024 vom 8. November 2024 E. 8 m.w.H.).</w:t>
      </w:r>
    </w:p>
    <w:p>
      <w:r>
        <w:rPr>
          <w:b/>
        </w:rPr>
        <w:t>E. 6.3</w:t>
      </w:r>
    </w:p>
    <w:p>
      <w:r>
        <w:t>Insgesamt ist aufgrund des Gesagten festzustellen, dass kein Grund zu der Annahme besteht, dass den Beschwerdeführenden bei einer Rück- kehr in ihr Heimatland aktuell mit beachtlicher Wahrscheinlichkeit Nachteile drohten, welche ein asylrelevantes Ausmass annehmen würden.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7.3.1</w:t>
      </w:r>
    </w:p>
    <w:p>
      <w:r>
        <w:t>Die Beschwerdeführenden beantragen in der Beschwerde die Ge- währung der vorläufigen Aufnahme. In Bezug auf die verfügte Wegweisung stellen sie in der die Beschwerde hingegen keine Anträge. In der Be- schwerdebegründung äussern sie sich zur Zumutbarkeit des Wegwei- sungsvollzugs. Sie legen indes nicht dar, inwiefern der Vollzug der Weg- weisung nicht zulässig (Art. 83 Abs. 3 AIG [SR 142.20]) beziehungsweise nicht möglich (Art. 83 Abs. 2 AIG) sein sollte. Solches ergibt sich auch aus den Akten nicht. Entsprechend der Beschwerdebegründung bildet somit faktisch einzig Ge- genstand der vorliegenden Prüfung, ob infolge Unzumutbarkeit an Stelle des Vollzugs der Wegweisung die vorläufige Aufnahme anzuordnen ist (Art. 44 AsylG i.V.m. Art. 83 Abs. 1 und 4 AIG).</w:t>
      </w:r>
    </w:p>
    <w:p>
      <w:r>
        <w:t>E-1896/2024 Seite 18</w:t>
      </w:r>
    </w:p>
    <w:p>
      <w:r>
        <w:rPr>
          <w:b/>
        </w:rPr>
        <w:t>E. 7.3.2</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7.3.3</w:t>
      </w:r>
    </w:p>
    <w:p>
      <w:r>
        <w:t>Auch unter Berücksichtigung des Wiederaufflammens des türkisch- kurdischen Konfliktes sowie der bewaffneten Auseinandersetzungen zwi- schen der PKK (Partiya Karkerên Kurdistanê) und staatlichen Sicherheits- kräften seit Juli 2015 in den Provinzen Batman, Diyarbakir, Mardin, Siirt, Urfa und Van sowie auch in den Provinzen Hakkari und Sirnak (zu den Letzteren vgl. das Referenzurteil des BVGer E-4103/2024 vom 8. Novem- ber 2024 E. 13.4.8) und der Entwicklungen nach dem Militärputschversuch im Juli 2016 ist gemäss konstanter Praxis nicht von einer Situation allge- meiner Gewalt oder bürgerkriegsähnlichen Verhältnissen in der Türkei - auch nicht für Angehörige der kurdischen Ethnie - auszugehen (vgl. etwa die Urteile des BVGer D-3140/2023 vom 28. September 2023 E. 8.3.1; E- 2377/2018 vom 27. August 2019 E. 8.4.1; D-8410/2015 vom 27. Juni 2019 E. 7.4).</w:t>
      </w:r>
    </w:p>
    <w:p>
      <w:r>
        <w:rPr>
          <w:b/>
        </w:rPr>
        <w:t>E. 7.3.4</w:t>
      </w:r>
    </w:p>
    <w:p>
      <w:r>
        <w:t>Es kann weiter in Einklang mit der Vorinstanz davon ausgegangen werden, dass die Beschwerdeführenden bei einer Rückkehr in die Türkei aus individuellen Gründen nicht in eine existenzielle Notlage geraten wür- den, weshalb für die diesbezüglichen Einzelheiten auf die zutreffende Be- gründung in der angefochtenen Verfügung (vgl. a.a.O. E. III Ziff. 2) zu ver- weisen ist. In der Beschwerde wenden die Beschwerdeführenden im Wesentlichen ein, eine Wegweisung in die Türkei widerspreche dem Kindeswohl. Ihre Tochter wäre in der Türkei auf sich alleine gestellt, da sie beide (der Be- schwerdeführer und wahrscheinlich auch die Beschwerdeführerin) bei ei- ner Rückkehr eine Freiheitsstrafe verbüssen müssten. Ihre Tochter habe keine Geschwister und habe durch den Aufenthalt in der Schweiz den Be- zug zu ihrer Familie verloren. Die Verhaftung der Beschwerdeführenden hätte für die Tochter psychische Folgen.</w:t>
      </w:r>
    </w:p>
    <w:p>
      <w:r>
        <w:rPr>
          <w:b/>
        </w:rPr>
        <w:t>E. 7.3.5</w:t>
      </w:r>
    </w:p>
    <w:p>
      <w:r>
        <w:t>Damit bringen die Beschwerdeführenden keine Argumente vor, die in Bezug auf die Beurteilung der Zumutbarkeit des Vollzugs der Wegweisung zu einer von derjenigen der Vorinstanz abweichenden Beurteilung führen könnten. Eine Verurteilung der Beschwerdeführerin zu einer unbedingten Freiheitsstrafe ist nach dem Gesagten unwahrscheinlich (vgl. E. 6.2). Die Befürchtung, dass die ihre Tochter auf sich alleine gestellt sein könnte, ist</w:t>
      </w:r>
    </w:p>
    <w:p>
      <w:r>
        <w:t>E-1896/2024 Seite 19 demnach rein spekulativer Natur. Des Weiteren hat die Vorinstanz zutref- fend auf ein Beziehungsnetz in der Heimat hingewiesen. Die Beschwerde- führerin steht mit ihrer Mutter sowie Geschwistern nach wie vor in Kontakt, welche ebenfalls in der Lage sein werden, die Tochter zu betreuen (vgl. act. 34 F29). Aus Sicht des Kindeswohls ist anzumerken, dass ihre Tochter erst (…) Jahre alt ist und sie soweit ersichtlich noch gar nicht im schweizerischen Schulsystem eingegliedert worden ist. Mit ihrem relativ kurzen Aufenthalt in der Schweiz von gut (…) Jahren ist demnach nicht davon auszugehen, dass ihre Eingliederung und Integration im Heimatland übermässig erschwert sein wird.</w:t>
      </w:r>
    </w:p>
    <w:p>
      <w:r>
        <w:rPr>
          <w:b/>
        </w:rPr>
        <w:t>E. 7.4</w:t>
      </w:r>
    </w:p>
    <w:p>
      <w:r>
        <w:t>Zusammenfassend hat die Vorinstanz den Vollzug der Wegeweisung zu Recht als zumutbar bezeichnet. Eine Anordnung der vorläufigen Auf- nahme fällt somit ausser Betracht (Art. 83 Abs. 1 und 4 AIG). Das Eventu- albegehren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Der geleistete Kostenvorschuss in gleicher Höhe ist zur Bezahlung der Verfahrenskosten zu verwenden. (Dispositiv nächste Seite)</w:t>
      </w:r>
    </w:p>
    <w:p>
      <w:r>
        <w:t>E-1896/2024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