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E-1896/2010 vom 27. November 2012</w:t>
      </w:r>
    </w:p>
    <w:p>
      <w:r>
        <w:t>Bundesverwaltungsgericht, 2012-11-27, DE</w:t>
      </w:r>
    </w:p>
    <w:p>
      <w:r>
        <w:rPr>
          <w:b/>
        </w:rPr>
        <w:t xml:space="preserve">Quelle: </w:t>
      </w:r>
      <w:r>
        <w:t>https://mcp.opencaselaw.ch/entscheid/bvger_E-1896_2010</w:t>
      </w:r>
    </w:p>
    <w:p>
      <w:r>
        <w:t>FR: TAF E-1896/2010 du 27 novembre 2012</w:t>
      </w:r>
    </w:p>
    <w:p>
      <w:r>
        <w:t>IT: TAF E-1896/2010 del 27 novembre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3.1</w:t>
      </w:r>
    </w:p>
    <w:p>
      <w:r>
        <w:t>Die Vorinstanz gelangt in der angefochtenen Verfügung zum Schluss, die Vorbringen des Beschwerdeführers würden weder den Anforderungen an das Glaubhaftmachen gemäss Art. 7 AsylG noch denjenigen an die Flüchtlingseigenschaft gemäss Art. 3 AsylG genügen. Zur Begründung führt die Vorinstanz aus, es sei nicht nachvollziehbar, wie die Attacke auf der belebten Strasse mitten am Tag unbemerkt habe geschehen können. Sodann seien die diesbezüglichen Vorbringen substanzarm, würden stereotyp wirken und keinen persönlichen Bezug aufweisen. Auch habe der Beschwerdeführer keine Beweismittel eingereicht. Darüber hinaus müsse die Attacke als nicht asylrelevanter Übergriff Dritter gewertet werden. Die lokalen polizeilichen Behörden hätten auf Anzeige hin Untersuchungen eingeleitet. Der Beschwerdeführer sei befragt worden. Dass es nicht in jedem Fall zu einer Festnahme und einer rechtskräftigen Verurteilung komme, spreche weder gegen den Schutzwillen noch die Schutzfähigkeit der staatlichen Organe. Weiter seien auch die Schilderungen bezüglich der angeblich erlittenen Misshandlungen seitens der Polizei detailarm, unsubstantiiert, stereotyp und würden nicht den Eindruck vermitteln, der Beschwerdeführer würde über selbst Erlebtes berichten. Zudem müssten auch die Misshandlungen der Polizisten als Übergriffe Dritter gewertet werden, da es sich um das Fehlverhalten einzelner Beamter handle, welches vom türkischen Staat geahndet werde. Schliesslich würden ernsthaft verfolgte Personen unmittelbar nach ihrer Einreise in die Schweiz um Asyl nachsuchen. Der Beschwerdeführer habe dies indes erst nach seiner Verhaftung getan. Der Einwand, er habe auf Dokumente der Mutter aus der Türkei gewartet, sei unbehelflich.</w:t>
      </w:r>
    </w:p>
    <w:p>
      <w:r>
        <w:rPr>
          <w:b/>
        </w:rPr>
        <w:t>E. 3.2</w:t>
      </w:r>
    </w:p>
    <w:p>
      <w:r>
        <w:t>In der Rechtsmitteleingabe wird geltend gemacht, die Vorinstanz habe den Massstab des Glaubhaftmachens gemäss Art. 7 AsylG nicht richtig angewendet und damit Bundesrecht verletzt. Der Beschwerdeführer habe detailliert, substantiiert und mit persönlicher Betroffenheit ausgesagt. Sodann bedeute die Tatsache, dass die Polizei den Beschwerdeführer befragt und ein Protokoll erstellt habe, nicht, dass sie auch tätig geworden sei. Der Beschwerdeführer habe während mehr als sechs Monaten nach dem Vorfall von den Behörden nichts gehört.</w:t>
      </w:r>
    </w:p>
    <w:p>
      <w:r>
        <w:rPr>
          <w:b/>
        </w:rPr>
        <w:t>E. 4</w:t>
      </w:r>
    </w:p>
    <w:p>
      <w:r>
        <w:t>Gemäss Art. 7 AsylG muss die Flüchtlingseigenschaft nachweisen oder zumindest glaubhaft machen, wer um Asyl nachsucht. Das Bundesverwaltungsgericht prüft in einem ersten Schritt die Glaubhaftigkeit der Vorbringen des Beschwerdeführers (E. 5) und in einem zweiten Schritt deren Asylrelevanz (E. 6).</w:t>
      </w:r>
    </w:p>
    <w:p>
      <w:r>
        <w:rPr>
          <w:b/>
        </w:rPr>
        <w:t>E. 5.1</w:t>
      </w:r>
    </w:p>
    <w:p>
      <w:r>
        <w:t>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Nach der Rechtsprechung des Bundesverwaltungsgerichts sind Vorbringen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Eine Behauptung gilt als glaubhaft gemacht, wenn die urteilende Behörde sie mit überwiegender Wahrscheinlichkeit für wahr hält.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zum Ganzen BVGE 2010/57 E. 2.2 und 2.3 und das Urteil des Bundesverwaltungsgerichts D-859/2010 vom 10. Oktober 2011 E. 3.2).</w:t>
      </w:r>
    </w:p>
    <w:p>
      <w:r>
        <w:rPr>
          <w:b/>
        </w:rPr>
        <w:t>E. 5.2.1</w:t>
      </w:r>
    </w:p>
    <w:p>
      <w:r>
        <w:t>Vorab ist festzuhalten, dass der Beschwerdeführer am 6. Januar 2010 im Rahmen einer polizeilichen Aktion kontrolliert und festgenommen wurde. Anlässlich der ersten polizeilichen Einvernahme zur Sache vom 7. Januar 2010 gab er zu Protokoll, er halte sich seit dem 15. September 2009 in der Schweiz auf und nannte als Zweck seiner Reise "wirtschaftliche Gründe" (vgl. A1/29 S. 6 oben). Insoweit bestehen in Bezug auf seine Asylgründe grundsätzliche Zweifel an der Glaubhaftigkeit seiner Aussagen. Dieser Schluss wird dadurch bestätigt, dass nach den Erkenntnissen des Gerichts tatsächlich verfolgte Personen unmittelbar nach der Einreise in die Schweiz um Asyl nachsuchen und nicht erst nach Monaten und darüber hinaus auch nur, weil sie im Rahmen einer Polizeikontrolle verhaftet werden. Die vom Beschwerdeführer angeführte Begründung, er habe auf Dokumente aus der Heimat gewartet, vermag sein Zuwarten jedenfalls nicht überzeugend zu erklären.</w:t>
      </w:r>
    </w:p>
    <w:p>
      <w:r>
        <w:rPr>
          <w:b/>
        </w:rPr>
        <w:t>E. 5.2.2</w:t>
      </w:r>
    </w:p>
    <w:p>
      <w:r>
        <w:t>Das Gericht stellt fest, dass die Aussagen des Beschwerdeführers betreffend die geltend gemachte Kundgebung von Türken gegen die Kurden kurz, wenig konkret sowie undifferenziert sind (vgl. A30/27 S. 17 F 135). Was die wiedergegebenen Slogans der Kundgebungsteilnehmer anbelangt, so handelt es sich um allgemein bekannte Parolen. Sodann ist für das Gericht nicht nachvollziehbar, weshalb zwei Türken den Beschwerdeführer direkt angesprochen und ihn angeblich ohne ersichtlichen Grund zu schlagen begonnen haben sollen. Dass dies einzig wegen der kurdischen Ethnie des Beschwerdeführers geschehen sein soll, ist eine blosse, durch nichts belegte Behauptung, für die den Akten keine Hinweise zu entnehmen sind. Demgegenüber ist festzustellen, dass die Aussagen des Beschwerdeführers betreffend die Messerattacke sowie insbesondere betreffend den anschliessenden Spitalaufenthalt substantiiert sowie detailreich sind und durchaus den Eindruck vermitteln, dass der Beschwerdeführer über selbst Erlebtes berichtet. Auch enthalten die diesbezüglichen Aussagen Realkennzeichen, wie beispielsweise die Vorbringen zum Essen im Spital, die Besuche der Nachbarn nach dem Spitalaufenthalt oder ins Erzählen eingeschobene spontane emotionale Äusserungen ("das hat mich sehr belastet"). Weiter ist festzustellen, dass die Angaben des Beschwerdeführers zu seiner Verletzung und zum Spitalaufenthalt mit dem auf Beschwerdeebene eingereichten Rapport des Spitals C._______, übereinstimmen. Dem Bericht ist zu entnehmen, dass der Beschwerdeführer am 21. Februar 2009 mit Schnittwunden auf der Notfallstation eingeliefert wurde, er an einem Traumatischen Schock litt (Diagnose) und wie er im Spital behandelt wurde. Eine offensichtliche Abweichung liegt indes bezüglich der Dauer des Spitalaufenthalts vor. Gemäss den Aussagen des Beschwerdeführers war er während zwei Wochen hospitalisiert. Aus dem eingereichten Rapport geht jedoch hervor, dass er bereits am 25. Februar 2009, mithin nach vier Tagen, aus dem Spital entlassen wurde. In Würdigung der vorstehenden Ausführungen gelangt das Gericht zum Schluss, dass der Beschwerdeführer Opfer einer Messerattacke wurde und während vier Tagen hospitalisiert war. Indessen ist nicht glaubhaft, dass die Attacke in dem vom Beschwerdeführer angeführten Kontext erfolgte und ethnisch motiviert war. Sodann hat der Beschwerdeführer die Dauer des Spitalaufenthalts offensichtlich tatsachenwidrig angegeben.</w:t>
      </w:r>
    </w:p>
    <w:p>
      <w:r>
        <w:rPr>
          <w:b/>
        </w:rPr>
        <w:t>E. 5.2.3</w:t>
      </w:r>
    </w:p>
    <w:p>
      <w:r>
        <w:t>Der Beschwerdeführer macht weiter geltend, er sei zu Hause von zwei Polizisten abgeholt und zur Befragung auf den Posten gebracht worden. Auf der Fahrt sowie bei der Befragung sei er von den Polizisten misshandelt worden. Das Gericht stellt auch hier fest, dass die Vorbringen des Beschwerdeführers betreffend das Abholen und die Befragung ausführlich, substantiiert und detailliert sind. In offensichtlichem Gegensatz dazu stehen jedoch die Schilderungen betreffend die polizeilichen Misshandlungen. Der Beschwerdeführer äussert sich - im Gegensatz zu den vorangehenden ausführlichen Aussagen - in sehr kurzen, vagen und stereotypen Sätzen (A30/27 S. 14 4. Abschnitt, S. 22 F 188 ff.). Auch fehlt den Schilderungen der angeblichen Misshandlungen jegliche persönliche Emotionalität und Betroffenheit. Desgleichen gilt hinsichtlich der Ausführungen des Beschwerdeführers im Zusammenhang mit dem Vorsprechen der Täter zu Hause (A30/27 S. 15, S. 20 F 169). Im Würdigung der vorstehenden Erwägungen gelangt das Gericht zum Schluss, dass der Beschwerdeführer zwar von der Polizei abgeholt und befragt, indes nicht misshandelt wurde. Auch wurde er von den angeblichen Tätern nicht bedroht.</w:t>
      </w:r>
    </w:p>
    <w:p>
      <w:r>
        <w:rPr>
          <w:b/>
        </w:rPr>
        <w:t>E. 5.2.4</w:t>
      </w:r>
    </w:p>
    <w:p>
      <w:r>
        <w:t>Zusammenfassend ist festzuhalten, dass die Vorinstanz bezüglich der Messerattacke und der Tatsache des Spitalaufenthalts den Massstab des Glaubhaftmachens gemäss Art. 7 AsylG nicht korrekt angewendet hat. Bezüglich der Dauer des Spitalaufenthalts und den polizeilichen Misshandlungen hat es demgegenüber zur Recht auf Unglaubhaftigkeit geschlossen.</w:t>
      </w:r>
    </w:p>
    <w:p>
      <w:r>
        <w:rPr>
          <w:b/>
        </w:rPr>
        <w:t>E. 6.1</w:t>
      </w:r>
    </w:p>
    <w:p>
      <w:r>
        <w:t>Gemäss Art. 2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6.2</w:t>
      </w:r>
    </w:p>
    <w:p>
      <w:r>
        <w:t>Aufgrund der teilweise glaubhaften Aussagen des Beschwerdeführers ist für die Prüfung der Flüchtlingseigenschaft von folgendem Sachverhalt auszugehen: Der Beschwerdeführer wurde mit einem Messer durch Dritte verletzt und notfallmässig ins Spitals eingeliefert. Während vier Tagen wurde er medizinisch betreut. Nach der Spitalentlassung suchte er den Staatsanwalt auf, welcher ihm mitteilte, er könne erst tätig werden, wenn ihn die Sicherheitskräfte über den Vorfall in Kenntnis gesetzt hätten (A30/27 S. 19 F 155 f., S. 22 F 187). Daraufhin reichte der Beschwerdeführer bei der Polizei Anzeige ein und der Kommissar orientierte ihn dahingehend, dass er dem Fall nachgehen werde (A30/27 S. 14 2. Abschnitt). In der Folge wurde der Beschwerdeführer auf den Posten vorgeladen und von der Polizei befragt und es wurde ein Protokoll erstellt (A30/27 S. 20 F 165.). Dabei erklärte die Polizei dem Beschwerdeführer, sie würden in seiner Sache bereits ermitteln (A30/27 S. 19 F 158 f.). Im März 2009 verliess er den Heimatort und begab sich nach Istanbul, wo er sich bis zur Ausreise aufhielt.</w:t>
      </w:r>
    </w:p>
    <w:p>
      <w:r>
        <w:rPr>
          <w:b/>
        </w:rPr>
        <w:t>E. 6.3</w:t>
      </w:r>
    </w:p>
    <w:p>
      <w:r>
        <w:t>Der Beschwerdeführer macht geltend, er sei von Unbekannten mit einem Messer attackiert und verletzt worden. Bei diesem Vorkommnis handelt es sich offensichtlich um einen Übergriff Dritter. Dass dieser, wie vom Beschwerdeführer behauptet, aufgrund seiner kurdischen Ethnie erfolgte, vermochte der Beschwerdeführer nicht glaubhaft zu machen (oben E. 5.2.2). Übergriffe Dritter sind grundsätzlich nicht asylrelevant, ausser der Staat kommt seiner Schutzpflicht nicht nach oder er ist nicht in der Lage, Schutz zu gewähren. Hinreichender Schutz ist dann gegeben, wenn eine funktionierende und effiziente Schutzinfrastruktur zur Verfügung steht, namentlich dann wenn polizeiliche Aufgaben wahrnehmende Organe sowie ein Rechts- und Justizsystem vorhanden ist, das eine effektive Strafverfolgung ermöglicht. Die Inanspruchnahme des Schutzsystems muss dabei sowohl objektiv möglich als auch individuell zumutbar sein (Urteil des Bundesverwaltungsgerichts D-1068/2012 vom 30. April 2012). Gemäss den Angaben des Beschwerdeführers hat er sowohl bei der Staatsanwaltschaft als auch bei der Polizei Anzeige eingereicht. Beide Behörden sicherten ihm zu, der Fall werde untersucht beziehungsweise die Untersuchungen seien bereits angelaufen (vgl. A30/27 S. 14, 2. Abschnitt, S. 19 F 159, S. 22, F 188). Auch wurde der Beschwerdeführer polizeilich befragt. Die heimatlichen Behörden sind demnach nicht untätig geblieben und haben die erforderlichen Schritte zur Untersuchung des Vorfalles unternommen. Damit ist entgegen der Ansicht des Beschwerdeführers vom Schutzwille und der Schutzfähigkeit der türkischen Behörden auszugehen, was im Übrigen auch den allgemeinen Erkenntnissen des Gerichts entspricht. Dass der Beschwerdeführer bislang kein gerichtliches Dokument erhalten hat, ist eine blosse und durch nichts belegte Behauptung. Schliesslich spricht es auch nicht gegen den Schutzwillen und die Schutzfähigkeit eines Staates, wenn die zuständigen Behörden nicht jeder darum ersuchenden Person persönlichen Schutz gewähren kann. Dazu bedarf es einer aussergewöhnlichen Situation, welche vorliegend offensichtlich nicht gegeben ist.</w:t>
      </w:r>
    </w:p>
    <w:p>
      <w:r>
        <w:rPr>
          <w:b/>
        </w:rPr>
        <w:t>E. 6.4</w:t>
      </w:r>
    </w:p>
    <w:p>
      <w:r>
        <w:t>Zusammenfassend ist festzustellen, dass der Beschwerdeführer nichts vorgebracht, das geeignet wäre, die Flüchtlingseigenschaft nachzuweisen oder glaubhaft zu machen. Es erübrigt sich daher, auf die weiteren Ausführungen in der Rechtsmitteleingabe sowie die eingereichten Beweismittel im Einzelnen einzugehen. Die Vorinstanz hat das Asylgesuch zu Recht abgelehnt.</w:t>
      </w:r>
    </w:p>
    <w:p>
      <w:r>
        <w:rPr>
          <w:b/>
        </w:rPr>
        <w:t>E. 7</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9.1</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in die Türkei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9.2</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2009/28E. 9.3.1). Der Beschwerdeführer macht geltend, er habe seit der Messerattacke auf ihn psychische Probleme. Aufgrund der Akten ergibt sich, dass er sich diesbezüglich bereits im Heimatstaat behandeln liess und offenbar anfänglich auch in der Schweiz entsprechende Medikamente erhielt. Indes hat der im Beschwerdeverfahren anwaltlich vertretene Beschwerdeführer im Rahmen der ihm obliegenden Mitwirkungspflicht (vgl. Art. 8 AsylG) bis heute kein ärztliches Zeugnis eingereicht, welches die geltend gemachten Probleme belegen würden. Das Gericht geht demnach davon aus, dass der Beschwerdeführer aktuell keiner medizinischen Behandlung bedarf. Es liegen somit keine Wegweisungshindernisse medizinischer Art vor. Weitergehend bringt der Beschwerdeführer in der Rechtsmitteleingabe nichts vor, was den Vollzug der Wegweisung als unzumutbar erscheinen liesse.</w:t>
      </w:r>
    </w:p>
    <w:p>
      <w:r>
        <w:rPr>
          <w:b/>
        </w:rPr>
        <w:t>E. 9.3</w:t>
      </w:r>
    </w:p>
    <w:p>
      <w:r>
        <w:t>Der Beschwerdeführer verfügt über einer türkischen Identitätskarte (Nüfus), weshalb der Vollzug der Wegweisung im Sinne von Art. 83 Abs. 2 AuG möglich ist (Art. 8 Abs. 4 AsylG; BVGE 2008/34 E. 12).</w:t>
      </w:r>
    </w:p>
    <w:p>
      <w:r>
        <w:rPr>
          <w:b/>
        </w:rPr>
        <w:t>E. 10</w:t>
      </w:r>
    </w:p>
    <w:p>
      <w:r>
        <w:t>Nach dem Gesagten ergibt sich, dass die Vorinstanz die Flüchtlingseigenschaft ohne Verletzung von Bundesrecht verneint hat und die angefochtene Verfügung auch sonst nicht zu beanstanden ist (Art. 106 Abs. 1 AsylG). Die Beschwerde ist abzuweisen.</w:t>
      </w:r>
    </w:p>
    <w:p>
      <w:r>
        <w:rPr>
          <w:b/>
        </w:rPr>
        <w:t>E. 11.1</w:t>
      </w:r>
    </w:p>
    <w:p>
      <w:r>
        <w:t>Der Beschwerdeführer beantragt die Gewährung der unentgeltlichen Rechtspflege gemäss Art. 65 Abs. 1 VwVG. Nach dieser Bestimmung kann die Beschwerdeinstanz eine Partei, die nicht über die erforderlichen Mittel verfügt, auf Antrag von der Bezahlung der Verfahrenskosten befreien, sofern ihr Begehren nicht aussichtslos erscheint.</w:t>
      </w:r>
    </w:p>
    <w:p>
      <w:r>
        <w:rPr>
          <w:b/>
        </w:rPr>
        <w:t>E. 11.2</w:t>
      </w:r>
    </w:p>
    <w:p>
      <w:r>
        <w:t>Aufgrund der vorstehenden Erwägungen ergibt sich, dass das Begehren des Beschwerdeführers nicht als aussichtslos zu gelten hat. Darüber hinaus ist aktenkundig, dass der Beschwerdeführer nicht erwerbstätig, er mithin bedürftig ist. Damit sind beide der kumulativ zu erfüllenden Voraussetzungen zur Gewährung der unentgeltlichen Rechtspflege gegeben. Dem Gesuch ist stattzugeben.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