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E-1894/2016 vom 7. November 2016</w:t>
      </w:r>
    </w:p>
    <w:p>
      <w:r>
        <w:t>Bundesverwaltungsgericht, 2016-11-07, DE</w:t>
      </w:r>
    </w:p>
    <w:p>
      <w:r>
        <w:rPr>
          <w:b/>
        </w:rPr>
        <w:t xml:space="preserve">Quelle: </w:t>
      </w:r>
      <w:r>
        <w:t>https://mcp.opencaselaw.ch/entscheid/bvger_E-1894_2016</w:t>
      </w:r>
    </w:p>
    <w:p>
      <w:r>
        <w:t>FR: TAF E-1894/2016 du 7 novembre 2016</w:t>
      </w:r>
    </w:p>
    <w:p>
      <w:r>
        <w:t>IT: TAF E-1894/2016 del 7 novembre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(Art. 111 Bst. e AsylG) und mit summarischer Urteilsbegründung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lehnte die Asylgesuche ab, da die Vorbringen der Beschwerdeführenden den Anforderungen an die Flüchtlingseigenschaft gemäss Art. 3 AsylG nicht standhalten würden. Die vorgebrachten Nachteile seien auf den in Syrien herrschenden Bürgerkrieg zurückzuführen und würden die gesamte Zivilbevölkerung Syriens gleichermassen betreffen. Auch der Verlust des Eigentums sei in diesem Kontext zu sehen. Aus den Akten sei nicht ersichtlich, dass ihnen diese Nachteile aus einem in Art. 3 AsylG erwähnten Grund erwachsen seien. Der Beschwerdeführer habe angegeben, er sei im September 2012 nach einer (von mehreren) Demonstration von den syrischen Sicherheitsbehörden zu Hause aufgesucht worden. In diesem Zusammenhang seien indes mehrere Häuser im gleichen Quartier durchsucht worden, mithin sei davon auszugehen, dass es sich um eine Kontrollmassnahme gehandelt habe, ohne dass nach bestimmen Personen gesucht worden sei. Ferner habe der Beschwerdeführer geltend gemacht, er sei bei der jüngsten Demons-tration vermummt gewesen. Mit aller Wahrscheinlichkeit sei es daher nicht zu einer Identifikation seiner Person durch die syrischen Sicherheitsbehörden gekommen. Darüber hinaus verfüge der Beschwerdeführer über kein auffälliges politisches Profil, welches den Fokus der syrischen Behörden auf ihn hätte lenken können. Damit sei die Gezieltheit der behördlichen Massnahmen nicht gegeben. Schliesslich habe der Beschwerdeführer vorgebracht, die PKK habe ihn zwangsrekrutieren wollen und er hätte entweder Wachedienstleistungen oder einen geldmässigen Ersatz dafür leisten sollen. Dabei handle es sich um Massnahmen, die nicht intensiv genug seien, um einen asylrelevanten Eingriff auf die in Art. 3 AsylG genannten Rechtsgüter darzustellen.</w:t>
      </w:r>
    </w:p>
    <w:p>
      <w:r>
        <w:rPr>
          <w:b/>
        </w:rPr>
        <w:t>E. 5.2</w:t>
      </w:r>
    </w:p>
    <w:p>
      <w:r>
        <w:t>Die Beschwerdeführenden machen in der Rechtsmitteleingabe geltend, die Vorinstanz habe sie zu Unrecht nicht als Flüchtlinge anerkannt, mithin Bundesrecht verletzt.</w:t>
      </w:r>
    </w:p>
    <w:p>
      <w:r>
        <w:rPr>
          <w:b/>
        </w:rPr>
        <w:t>E. 5.3</w:t>
      </w:r>
    </w:p>
    <w:p>
      <w:r>
        <w:t>Der vorinstanzliche Schluss ist indes nicht zu beanstanden. In der angefochtenen Verfügung wird ausführlich dargelegt, weshalb die Beschwerdeführenden die Voraussetzungen zur Anerkennung als Flüchtlinge nicht erfüllen. Was in der Rechtsmitteleingabe dagegen vorgebracht wird, ist nicht geeignet, die vorinstanzlichen Erwägungen in einem andern Lichte erscheinen zu lassen. Mit der Vorinstanz ist nochmals festzuhalten, dass die im Rahmen von Krieg oder Situationen allgemeiner Gewalt erlittenen Nachteile keine Verfolgung im Sinne des Asylgesetzes darstellen. Entgegen den Ausführungen in der Rechtsmitteleingabe, hat die Beschwerdeführerin anlässlich der Anhörung ausdrücklich gesagt, die Sicherheitsleute hätten alle Häuser von Leuten in ihrem Quartier durchsucht, die verdächtig gewesen seien. Die Muchabarat seien nicht gezielt zu ihrem Haus gekommen (vgl. SEM-Akten A20/11 F 49, F 51). Insoweit vermögen die Beschwerdeführenden daraus nichts zu ihren Gunsten abzuleiten. Weitergehend legen sie mit dem Festhalten am aktenkundigen Sachverhalt nicht dar, inwiefern die Vorinstanz zu Unrecht das Vorliegen der Flüchtlings-eigenschaft verneint hat. Die Vorinstanz hat demnach die Asylgesuche der Beschwerdeführenden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6.2</w:t>
      </w:r>
    </w:p>
    <w:p>
      <w:r>
        <w:t>Der Vollzug der Wegweisung wurde zugunsten einer vorläufigen Aufnahme aufgeschoben, womit die Beschwerdeführenden über ein vorübergehendes Bleiberecht in der Schweiz verfügen. Da die Wegweisungsvollzugshindernisse alternativer Natur sind (vgl. BVGE 2009/51 E. 5.4), besteht kein schutzwürdiges Interesse an der Überprüfung, aus welchen Gründen die Vorinstanz den Vollzug aufgeschoben hat (Art. 48 Abs. 1 Bst. c VwVG).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17. Oktober 2016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