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E-1891/2023 vom 29. März 2023</w:t>
      </w:r>
    </w:p>
    <w:p>
      <w:r>
        <w:t>Bundesverwaltungsgericht, 2023-03-29, DE</w:t>
      </w:r>
    </w:p>
    <w:p>
      <w:r>
        <w:rPr>
          <w:b/>
        </w:rPr>
        <w:t xml:space="preserve">Quelle: </w:t>
      </w:r>
      <w:r>
        <w:t>https://mcp.opencaselaw.ch/entscheid/bvger_E-1891_2023_d20230329</w:t>
      </w:r>
    </w:p>
    <w:p>
      <w:r>
        <w:t>FR: TAF E-1891/2023 du 29 mars 2023</w:t>
      </w:r>
    </w:p>
    <w:p>
      <w:r>
        <w:t>IT: TAF E-1891/2023 del 29 marzo 2023</w:t>
      </w:r>
    </w:p>
    <w:p>
      <w:pPr>
        <w:pStyle w:val="Heading2"/>
      </w:pPr>
      <w:r>
        <w:t>Regeste</w:t>
      </w:r>
    </w:p>
    <w:p>
      <w:r>
        <w:t>Berichtigung | Berichtigung des Urteils des Bundesverwaltungsgerichts E-588/2023 vom 29. März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Erwägung 5.4 des Urteils E-588/2023 vom 29. März 2023 wird wie folgt ersetzt: «Das SEM hat demgegenüber keine entsprechende Verfügung (Gestal- tungsverfügung, welche Rechte oder Pflichten festlegt), sondern eine so- genannte Feststellungsverfügung im Sinne von Art. 25 VwVG erlassen, in welcher festgestellt wurde, dass kein Zuständigkeitsübergang erfolgt sei und die Frist zur Überstellung am 28. Mai 2023 ablaufe. Gestaltungs- und Feststellungsverfügungen dienen unterschiedlichen Zwecken. Bei der Ge- staltungsverfügung geht es um die unmittelbare Verwirklichung der priva- ten Interessen durch die rechtssuchende Partei. Feststellungsverfügungen hingegen stehen im Dienste der Rechtssicherheit und haben zum Zweck, in einer konkreten Situation rechtliche Unsicherheiten zu beseitigen. Auf- grund dieser unterschiedlichen Zielsetzung sind Feststellungsverfügungen im Verhältnis zu Gestaltungsverfügungen subsidiär (BGE 108 Ib 540 E. 3 S. 546). Können Private ihre Interessen unmittelbar mit einer Gestaltungs- verfügung verwirklichen, ist im Interesse der Verfahrensökonomie der Er- lass einer Feststellungsverfügung ausgeschlossen (REGINA KUHN, RÜT- SCHE BERNHARD, KUHN MATHIAS, Öffentliches Verfahrensrecht, 2. Aufl., Zü- rich 2015; Rz. 395). Der Beschwerdeführer hat vorliegend keine Feststel- lungsverfügung begehrt. Der Erlass einer Feststellungsverfügung war da- her ausgeschlossen, zumal er sich auch nicht unter dem Aspekt des pro- zessökonomischen Interesses an Stelle einer Gestaltungs- respektive ab- weisenden Verfügung (Art. 5 Abs. 1 Bst. a und c VwVG) rechtfertigen lässt.»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 Berichtigung geht an den Beschwerdeführer im Verfahren E-588/2023, die Vorinstanz und die zuständige kantonale Migrationsbe- hörde.</w:t>
      </w:r>
    </w:p>
    <w:p>
      <w:r>
        <w:t>Die Einzelrichterin: Die Gerichtsschreiberin:</w:t>
      </w:r>
    </w:p>
    <w:p>
      <w:r>
        <w:t>Constance Leisinger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