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E-1889/2017 vom 1. Mai 2017</w:t>
      </w:r>
    </w:p>
    <w:p>
      <w:r>
        <w:t>Bundesverwaltungsgericht, 2017-05-01, DE</w:t>
      </w:r>
    </w:p>
    <w:p>
      <w:r>
        <w:rPr>
          <w:b/>
        </w:rPr>
        <w:t xml:space="preserve">Quelle: </w:t>
      </w:r>
      <w:r>
        <w:t>https://mcp.opencaselaw.ch/entscheid/bvger_E-1889_2017</w:t>
      </w:r>
    </w:p>
    <w:p>
      <w:r>
        <w:t>FR: TAF E-1889/2017 du 1 mai 2017</w:t>
      </w:r>
    </w:p>
    <w:p>
      <w:r>
        <w:t>IT: TAF E-1889/2017 del 1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(Dispositiv Ziff. 4-7)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Auf Beschwerdeebene wird im Wesentlichen vorgebracht, die Vorinstanz habe ihre Begründungspflicht verletzt, indem sie in der angefochtenen Verfügung keine Gesamtwürdigung aller Aussagen vorgenommen habe. Letztere seien im Übrigen auch durchaus detailreich ausgefallen. Ferner sei die Anzahl Besuche der YPG verkannt worden.</w:t>
      </w:r>
    </w:p>
    <w:p>
      <w:r>
        <w:rPr>
          <w:b/>
        </w:rPr>
        <w:t>E. 4.1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eine dieser Pflichten verletzt. Die Verfügung der Vorinstanz ist ausreichend begründet, zumal sie sich nicht mit jedem einzelnen Vorbringen auseinandersetzen muss. Dass eine sachgerechte Anfechtung möglich war, zeigt die Beschwerde selbst. Der Begründungspflicht ist Genüge getan. Die entsprechende Rüge mit Rechtsprechungsverweisen erweist sich als unbegründet.</w:t>
      </w:r>
    </w:p>
    <w:p>
      <w:r>
        <w:rPr>
          <w:b/>
        </w:rPr>
        <w:t>E. 5.1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5.2</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5.3</w:t>
      </w:r>
    </w:p>
    <w:p>
      <w:r>
        <w:t>Was das angebliche Problem mit der YPG anbelangt, hat die Vorinstanz den Massstab des Glaubhaftmachens nicht verkannt und auf den vorliegenden Fall korrekt angewendet. Ihre Schlussfolgerungen sind nicht zu beanstanden. Die angefochtene Verfügung ist ausreichend begründet. Die Rechtsmitteleingabe erschöpft sich dagegen in Wiederholungen und oberflächlichen Erklärungsversuchen, womit sie nicht aufzeigt, inwiefern die vorinstanzliche Beweiswürdigung Bundesrecht verletzen oder zu einer rechtsfehlerhaften Sachverhaltsfeststellung führen soll. Solches ist auch nicht ersichtlich. So ist die angebliche Aufforderung der YPG - der Beschwerdeführer 1 solle nicht weiter über "Fehler", "schlechte Sachen" und "andere Sachen" in seinem Dorf sprechen (insb. SEM-Akten, A35, S. 9, F52) - viel zu oberflächlich. Vor diesem Hintergrund ist der Fluchtgeschichte mit der gesamten Familien der Boden entzogen, zumal der Beschwerdeführer lediglich auf die Erzählung solcher "Sachen" hätte verzichten müssen, um der angeblichen Bedrohung zu entgehen. Was bleibt, ist die Ausreise aufgrund des Bürgerkriegs sowie der allgemeinen Arbeitsmarktprobleme (eine Vielzahl von Stellen- und Berufswechsel sowie weite Reisen für die Arbeit [Damaskus 15 bis 20 Mal für jeweils 6 bis 18 Monate, Irak bis zu 2 Monate], SEM-Akten, A35, S. 4 und A6, S. 4). Dass diese Ausreisegründe nicht von Asylrelevanz sind, bestätigt die Beschwerde selbst (Beschwerde, S. 3). Anzumerken ist, dass die Zugehörigkeit zur kurdischen Ethnie für sich alleine ebenfalls nicht genügt, die Flüchtlingseigenschaft zu begründen. Die Beschwerde kommt unter Verweis auf verschiedene Stellen der Befragungsprotokolle zum Schluss, die Aussagen würden sich "durchaus auch durch verschiedene Details" auszeichnen (Beschwerde, S. 5). Es ist indes der Vorinstanz darin beizupflichten, dass die Ausführungen betreffend zentrale Details zu knapp und unsubstantiiert ausgefallen sind, als dass sie auf ernsthafte Nachteile beziehungsweise eine glaubhafte Verfolgung schliessen lassen würden (insb. SEM-Akten, A35, S. 9, F51 ff.). So gelingt es beispielsweise dem Beschwerdeführer 1 weder klar darzulegen, was bei dem "Besuch" genau von ihm gefordert worden sein soll noch weshalb seine Probleme bei der Arbeit ein derart grosses Interesse seitens der YPG geweckt haben sollen (SEM-Akten, A35, S. 9, F52 f.). Auf vertiefte Fragen zu den "Besuchen" antwortet er, "wie ich gesagt habe" und wiederholt dann das bereits Bekannte (SEM-Akten, A35, S. 9, insb. F54 und F58). Da die angebliche Aufforderung der YPG offensichtlich unglaubhaft ist, ist auf deren Anzahl nicht einzugehen (Beschwerde, S. 4). Weiter weist die Beschwerde zwar auf ein "politisches Engagement" hin (z. B. Beschwerde, S. 2), führt ein solches indes weder aus noch ist den Akten Entsprechendes zu entnehmen. Um Wiederholungen zu vermeiden ist auf die zutreffenden Ausführungen der Vorinstanz zu verweisen, die zu Recht die Asylgesuche der Beschwerdeführenden abgelehnt hat. Nach dem Gesagten gibt es keinen Anlass, die Sache an die Vorinstanz zurückzuweisen; der Eventualantrag ist abzuweisen.</w:t>
      </w:r>
    </w:p>
    <w:p>
      <w:r>
        <w:rPr>
          <w:b/>
        </w:rPr>
        <w:t>E. 6</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Die Beschwerdeführenden beantragen die Gewährung der unentgeltlichen Rechtspflege gemäss Art. 65 Abs. 1 VwVG. Aufgrund der vorstehenden Erwägungen ergibt sich, dass ihre Begehren als aussichtslos zu gelten hat.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den Beschwerdeführenden aufzuerlegen (Art. 63 Abs. 1 VwVG). Mit vorliegendem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