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E-1887/2020 vom 21. Februar 2020</w:t>
      </w:r>
    </w:p>
    <w:p>
      <w:r>
        <w:t>Bundesverwaltungsgericht, 2020-02-21, DE</w:t>
      </w:r>
    </w:p>
    <w:p>
      <w:r>
        <w:rPr>
          <w:b/>
        </w:rPr>
        <w:t xml:space="preserve">Quelle: </w:t>
      </w:r>
      <w:r>
        <w:t>https://mcp.opencaselaw.ch/entscheid/bvger_E-1887_2020_d20200221</w:t>
      </w:r>
    </w:p>
    <w:p>
      <w:r>
        <w:t>FR: TAF E-1887/2020 du 21 février 2020</w:t>
      </w:r>
    </w:p>
    <w:p>
      <w:r>
        <w:t>IT: TAF E-1887/2020 del 21 febbraio 2020</w:t>
      </w:r>
    </w:p>
    <w:p>
      <w:pPr>
        <w:pStyle w:val="Heading2"/>
      </w:pPr>
      <w:r>
        <w:t>Regeste</w:t>
      </w:r>
    </w:p>
    <w:p>
      <w:r>
        <w:t>Asyl und Wegweisung | Flüchtlingseigenschaft und Asyl; Verfügung des SEM vom 21. Februar 2020</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t>E-1887/2020 Seite 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2.1</w:t>
      </w:r>
    </w:p>
    <w:p>
      <w:r>
        <w:t>Die Kognition des Bundesverwaltungsgerichts und die zulässigen Rü- gen richten sich im Asylbereich nach Art. 106 Abs. 1 AsylG (vgl. BVGE 2014/26 E. 5).</w:t>
      </w:r>
    </w:p>
    <w:p>
      <w:r>
        <w:rPr>
          <w:b/>
        </w:rPr>
        <w:t>E. 2.2</w:t>
      </w:r>
    </w:p>
    <w:p>
      <w:r>
        <w:t>Die Dispositivziffern 3-5 der Verfügung vom 4. März 2020 betreffend die Wegweisung und deren Vollzug wurden mangels entsprechender Rechtsbegehren nicht angefochten und sind daher in Rechtskraft erwach- sen. Der Prüfgegenstand des vorliegenden Beschwerdeverfahrens be- schränkt sich daher auf die Frage der Flüchtlingseigenschaft und des Asyls (Dispositivziffern 1 und 2 der angefochtenen Verfügung).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E-1887/2020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Nach Ansicht des SEM genügten die Vorbringen des Beschwerdefüh- rers weder den Anforderungen von Art. 3 AsylG an die Flüchtlingseigen- schaft noch denjenigen von Art. 7 AsylG an die Glaubhaftmachung.</w:t>
      </w:r>
    </w:p>
    <w:p>
      <w:r>
        <w:rPr>
          <w:b/>
        </w:rPr>
        <w:t>E. 5.1.1</w:t>
      </w:r>
    </w:p>
    <w:p>
      <w:r>
        <w:t>Den beschriebenen Ereignissen im Jahr 2007 fehle es an einem Kau- salzusammenhang mit der Ausreise des Beschwerdeführers im Jahr 2011 und damit an der erforderlichen Asylrelevanz. Nach den angeblichen Be- fragungen durch das CID im Jahr 2007 habe er noch weitere vier Jahre in Sri Lanka an der den Behörden bekannten Adresse gelebt. Er sei auch regelmässig zur Leistung der geforderten Unterschrift vorstellig geworden. Dennoch habe er explizit gesagt, bis zu seiner ersten Ausreise aus Sri Lanka am (…) 2011 nicht mehr verhört worden zu sein, sondern sich aus- schliesslich auf die (…)Prüfungen vorbereitet zu haben. Es gebe keine ob- jektiven Anzeichen, dass die sri-lankischen Behörden weiterhin ein grösse- res Interesse an seiner Person gehabt hätten. Andere Probleme als die auf seiner Tätigkeit für die TNA beruhenden habe er mit Bezug auf die Vorfälle im Jahre 2007 und der anschliessenden Meldepflicht keine geltend ge- macht. Der Unterschriftspflicht komme für sich alleine aufgrund mangeln- der Intensität kein Verfolgungscharakter zu. Auch für die Zeit nach seiner Rückkehr im Jahr 2015 habe er keine Ereignisse geltend gemacht, welche mit den Vorfällen im Jahr 2007 in Verbindung stünden. Vielmehr habe er selber ausdrücklich gesagt, dass erst die Probleme aufgrund seines Enga- gements für die TNA ihn zur Ausreise veranlasst hätten.</w:t>
      </w:r>
    </w:p>
    <w:p>
      <w:r>
        <w:rPr>
          <w:b/>
        </w:rPr>
        <w:t>E. 5.1.2</w:t>
      </w:r>
    </w:p>
    <w:p>
      <w:r>
        <w:t>Weiter sei es zu Widersprüchen und Ungereimtheiten gekommen. So habe er anlässlich der BzP sowie im freien Bericht der Anhörung unter An- gabe von Details zu Protokoll gegeben, wegen seiner Tätigkeit für die TNA zwei Mal (im […] und […] 2011) verhört worden zu sein. Später erneut auf</w:t>
      </w:r>
    </w:p>
    <w:p>
      <w:r>
        <w:t>E-1887/2020 Seite 7 diese Ereignisse angesprochen habe er jedoch mehrmals erklärt, aufgrund dieser Aktivitäten nie befragt worden, sondern direkt ausgereist zu sein, nachdem man ihn bei seinen Eltern gesucht habe. Explizit habe er sogar zu Protokoll gegeben, nach 2007 nie mehr verhört worden zu sein. Eben- falls widersprochen habe er sich zur Anzahl Demonstrationen, an denen er teilgenommen habe. An der BzP habe er noch von fünf Demonstrationen gesprochen und habe klar bezeichnen können, wo diese stattgefunden hätten. An der Anhörung habe er hingegen nur noch von drei Demonstrati- onen gesprochen und auf Vorhalt diesbezüglich wenig überzeugend er- klärt, einfach andere Personen an Demonstrationen geschickt zu haben. Auch die Chronologie der Ereignisse sei nicht nachvollziehbar. So habe er an der BzP gesagt, er sei 2011 gesucht worden, an anderer Stelle habe er hingegen erwähnt, während der Wahlen im Jahr 2010 vorgeladen worden zu sein. Diesfalls wäre jedoch fraglich, weshalb er erst am (…) 2011 aus Sri Lanka ausgereist sei. Nicht nachvollziehbar seien überdies die Um- stände des Erhalts seines Passes, zumal er sich diesbezüglich ebenfalls widersprochen habe. An der BzP habe er gesagt, dieser sei im Jahre 2011 unmittelbar vor seiner Ausreise ausgestellt worden und er habe zumindest im Jahr 2015 das Land legal unter Vorweisen dieses Passes verlassen. Anlässlich der Anhörung habe er in Widerspruch hierzu gesagt, der Pass sei 2008 ausgestellt worden, als er noch zur Schule gegangen sei. Auf diese Unstimmigkeit angesprochen habe er später erklärt, er habe zwei Pässe besessen – den zweiten Pass habe er sich erst 2015 mit Hilfe eines Schleppers ausstellen lassen. Das SEM führte hierzu aus, dies lasse da- rauf schliessen, dass er Sri Lanka anders verlassen habe, als von ihm an- gegeben. Sodann seien seine Aussagen hinsichtlich der angeblichen poli- tischen Verfolgung unsubstanziiert ausgefallen. Es sei reine Spekulation seinerseits, dass ein Freund gegenüber den Behörden seinen Namen ge- nannt habe. Deshalb müsse bereits der Auslöser für die geltend gemachte Verfolgung als ungeklärt bezeichnet werden. Das Gleiche sei in Bezug auf die erneute Suche nach ihm im Jahr 2015 zu sagen. Er sei nicht in der Lage gewesen, plausibel zu erklären, weshalb die Behörden Kenntnis von seiner Rückkehr gehabt haben sollten. Dies insbesondere da er geltend gemacht habe, bereits einen Tag nach seiner neuerlichen Einreise gesucht worden zu sein. Sein Hinweis, dass seine Eltern möglicherweise im Dorf davon erzählt hätten und eine politisch anders gesinnte Person die Behör- den über seine Rückkehr informiert habe, erkläre nicht, dass die Verfolgung seiner Person so schnell wieder aufgenommen worden sei. Zudem erscheine auch das Verhalten der beteiligten Personen zweifelhaft. So seien seine Eltern direkt einen Tag, nachdem nach ihm gefragt worden</w:t>
      </w:r>
    </w:p>
    <w:p>
      <w:r>
        <w:t>E-1887/2020 Seite 8 sei, zu seiner Hochzeit nach F._______ gereist. Angesichts seiner Befürch- tungen wäre zu erwarten gewesen, dass er Schutzmassnahmen ergreife und seine Hochzeit möglicherweise absagen würde, um seinen Aufent- haltsort geheim zu halten. Zudem habe er eigenen Aussagen zufolge offi- ziell geheiratet. Es sei nicht glaubhaft, dass er bei den Behörden vorstellig geworden sei und sich freiwillig in deren Einflussbereich begeben habe, um seine Ehe registrieren zu lassen, nachdem er kurze Zeit zuvor gesucht worden sei. Überdies erscheine der Aufenthalt im Haus der Frau als ein schlechtes Versteck – insbesondere nach der Registrierung der Ehe- schliessung. Da zudem bei seinen Eltern auch nichts mehr passiert sei, sei nicht ersichtlich, weshalb er es dennoch als nötig erachtet habe, mehrere Monate später auszureisen. Es wäre zu erwarten gewesen, dass er entwe- der sofort ausreise oder zumindest andere Vorsichtsmassnahmen treffe, oder aber, dass er Alternativen zur Ausreise prüfen würde, nachdem die Verfolgung nach mehreren Wochen ohne weitere Vorkommnisse nicht mehr virulent erschienen sei. Insgesamt könne ihm die geltend gemachte Verfolgung aufgrund eines po- litischen Engagements für die TNA nicht geglaubt werden.</w:t>
      </w:r>
    </w:p>
    <w:p>
      <w:r>
        <w:rPr>
          <w:b/>
        </w:rPr>
        <w:t>E. 5.1.3</w:t>
      </w:r>
    </w:p>
    <w:p>
      <w:r>
        <w:t>Hinsichtlich allfälliger Risikofaktoren im Sinne der bundesverwal- tungsgerichtlichen Rechtsprechung (vgl. nachfolgend E. 6.3) führte das SEM aus, dass der Beschwerdeführer keine asylrelevanten Verfolgungs- massnahmen vor seiner Ausreise habe glaubhaft machen können. Viel- mehr sei er bis (…) 2011 sowie zwischen (…) und (…) 2015 erneut in Sri Lanka wohnhaft gewesen und habe damit nach Kriegsende noch über zweieinhalb Jahre im Heimatstaat gelebt. Allfällige, im Zeitpunkt seiner Ausreise bestehende Risikofaktoren hätten folglich kein Verfolgungsinte- resse seitens der sri-lankischen Behörden auszulösen vermocht. Es sei aufgrund der Aktenlage nicht ersichtlich, weshalb er bei einer Rückkehr nach Sri Lanka nunmehr in den Fokus der Behörden geraten und in asyl- relevanter weise verfolgt werden sollte. Auch die am 16. November 2019 erfolgte Präsidentschaftswahl vermöchte diese Einschätzung nicht umzu- stossen. Weder habe er die Wahl respektive deren Folgen als Gefähr- dungselement vorgebracht, noch seien den Akten Hinweise auf eine Ver- schärfung seiner persönlichen Situation aufgrund dieses Ereignisses zu entnehmen. Die Anforderungen an eine begründete Verfolgungsfurcht seien damit nicht gegeben. Es bestehe somit kein begründeter Anlass zur Annahme, dass er bei einer Rückkehr nach Sri Lanka mit beachtlicher Wahrscheinlichkeit und in absehbarer Zukunft asylrelevanten Verfolgungs- massnahmen ausgesetzt sein werde.</w:t>
      </w:r>
    </w:p>
    <w:p>
      <w:r>
        <w:t>E-1887/2020 Seite 9</w:t>
      </w:r>
    </w:p>
    <w:p>
      <w:r>
        <w:rPr>
          <w:b/>
        </w:rPr>
        <w:t>E. 5.1.4</w:t>
      </w:r>
    </w:p>
    <w:p>
      <w:r>
        <w:t>In seiner Beschwerdeeingabe wiederholte der Beschwerdeführer im Wesentlichen den bereits bekannten Sachverhalt, dessen Glaubhaftigkeit er betonte. Die Ereignisse 2006/2007 seien insgesamt unbestritten und glaubhaft. Ein allfälliger Eintrag bei den Behörden sei nach zweimaliger Befragung unter Drohungen und Misshandlung und der nachfolgenden Meldepflicht als durchaus realistisch einzuschätzen. Er habe die im Verhör erlittenen Verbrennungen deshalb nicht explizit erwähnt, da er befürchtet habe, die sri-lankischen Behörden könnten dies in Erfahrung bringen und ihn bei einer Rückkehr sofort als Regierungsgegner erkennen. Ebenfalls glaubhaft seien seine Schilderungen zu den Ereignissen in den Jahren 2010/2011. Das SEM habe selbst eingestanden, dass er in der BzP und der freien Schilderung in der Anhörung die Kontakte mit dem CID im Zu- sammenhang mit den TNA-Aktivitäten 2011 konsistent geschildert habe. Die vom SEM hervorgehobene Stelle an der Anhörung mit den entspre- chenden Fragen und Antworten sei schwer einzuschätzen, da die verschie- denen Ereignisse durcheinander gefragt worden seien, was die Beantwor- tung für ihn sehr schwierig gemacht habe. So habe er sich bei seiner Ant- wort auf die Frage, ob er nach 2006/2007 bis zur Ausreise nochmals ver- hört worden sei, offenbar auf die Zeit 2006/2007 bezogen und nicht auf die späteren Ereignisse 2010/2011. Dabei sei ebenfalls zu berücksichtigen, dass die erwähnten Ereignisse bereits rund zehn beziehungsweise drei- zehn Jahre zurückliegen. Auch sei die Anhörung unstrukturiert erfolgt und sei keiner chronologischen Reihenfolge gefolgt. Dabei sei es fast unmög- lich, übersichtlich und vollständig präzise zu berichten. Es erfordere eine sehr hohe Konzentration welche naturgemäss gegen Ende der langen An- hörung nicht aufrechterhalten werden könne. Es sei deshalb auf die kon- sistenten Aussagen in der BzP und der freien Schilderung in der Anhörung abzustellen. Die Anhörung habe zudem drei Jahre nach der BzP stattge- funden, weshalb die übereinstimmenden Aussagen besonders glaubwür- dig seien. Die teilweise Verwirrung im späteren Teil der Anhörung sei ihm nicht anzulasten. In seinen Ausführungen liessen sich zudem zahlreiche Details und Realkennzeichen finden, welche stärker gewichtet werden müssten als die zeitliche Abfolge der Ereignisse. Im Weiteren seien seine Schilderungen zur Ausreise und des Erhalts des Passes stimmig. Er habe lediglich betreffend das Ausstellungsjahr des Passes einen Fehler ge- macht. Er habe auch überzeugend dargelegt, wie das CID von seiner Rückkehr erfahren haben könnte. Es sei ebenfalls nicht unplausibel, dass seine Eltern zu seiner Heirat gekommen seien. Dass er sich im (…) Kilo- meter von D._______ entfernten F._______ aufhalte, hätten nur die engen Familienmitglieder gewusst. Zudem seien die Eltern nicht unter Beobach-</w:t>
      </w:r>
    </w:p>
    <w:p>
      <w:r>
        <w:t>E-1887/2020 Seite 10 tung des CID gestanden. Sodann habe er auch plausibel geschildert, wes- halb er erst einige Monate nach seiner Heirat erneut aus Sri Lanka geflo- hen sei. Erst als klar geworden sei, dass er sich nicht dauerhaft in F._______ verstecken könne und auch als seine Frau die Flucht unterstützt habe, habe er sich zur Ausreise entschieden.</w:t>
      </w:r>
    </w:p>
    <w:p>
      <w:r>
        <w:rPr>
          <w:b/>
        </w:rPr>
        <w:t>E. 5.1.5</w:t>
      </w:r>
    </w:p>
    <w:p>
      <w:r>
        <w:t>Hinsichtlich seines Risikoprofils machte er geltend, dass er bei den sri-lankischen Behörden als Person mit Verbindungen zu den LTTE be- kannt und mit hoher Wahrscheinlichkeit registriert sei. Damit liege ein stark risikobegründendes Kriterium vor, welches nach der Rechtsprechung des Bundesverwaltungsgerichts für sich alleine bereits die Flüchtlingseigen- schaft begründen könne. Als weiterer Risikofaktor kämen seine zahlrei- chen, gut sichtbaren Narben an (…), (…) und (…), welche gemäss Arztbe- richt von (…) herrührten, hinzu. Das Fehlen eines heimatlichen Reisepas- ses sowie die mehrjährige Landesabwesenheit stellten sodann zusätzliche Risikofaktoren dar.</w:t>
      </w:r>
    </w:p>
    <w:p>
      <w:r>
        <w:rPr>
          <w:b/>
        </w:rPr>
        <w:t>E. 6.1</w:t>
      </w:r>
    </w:p>
    <w:p>
      <w:r>
        <w:t>Nach Prüfung der Akten gelangt das Bundesverwaltungsgericht zum Schluss, dass die angefochtene Verfügung zu stützen ist. Das SEM ist da- rin mit überzeugender und ausführlicher Begründung zum Schluss gelangt, dass die Vorbringen des Beschwerdeführers weder den Anforderungen von Art. 3 AsylG an die Flüchtlingseigenschaft noch denjenigen von Art. 7 AsylG an das Glaubhaftmachen genügen. In der Beschwerdeeingabe ver- mag er den vorinstanzlichen Erwägungen nichts Stichhaltiges entgegenzu- setzen, zumal er sich darin in kursorischer Weise lediglich mit einzelnen Argumenten des SEM auseinandersetzt. Zur Vermeidung von Wiederho- lungen kann daher mit den nachfolgenden Ausführungen auf die zutreffen- den Erwägungen der Vorinstanz gemäss angefochtener Verfügung (vgl. dort E. II) und obiger Zusammenfassung verwiesen werden. Der Ansicht des Beschwerdeführers, die angeblichen Kontakte mit dem CID im Zusammenhang mit den Aktivitäten für die TNA im Jahr 2011 kon- sistent geschildert zu haben und dass die von der Vorinstanz angeführten Protokollstellen «schwierig einzuschätzen» und mithin auf ein Missver- ständnis zurückzuführen seien, kann nicht gefolgt werden. So wurde er in Frage 139 klar gefragt, ob er zwischen 2006/2007 und seiner Ausreise nach E._______ im Jahr 2011 jemals verhört worden sei (vgl. vorinstanzli- che Akten A11 a.a.O.). Dies hat er eindeutig verneint («Nach 2007 nicht mehr»). Sein anschliessender Hinweis, dass er sich danach auf die Prü-</w:t>
      </w:r>
    </w:p>
    <w:p>
      <w:r>
        <w:t>E-1887/2020 Seite 11 fung vorbereitet habe, vermag nicht zur Annahme eines Missverständnis- ses zu führen, zumal er anlässlich der Rückübersetzung angesichts der klaren Fragestellung ohne Weiteres dazu in der Lage gewesen wäre, die- ses sogleich zu korrigieren. Hinzu kommt, dass er abgesehen von der un- terschiedlichen Schilderung der Chronologie dieser Ereignisse zwischen der Befragung zur Person (BzP) und der Anhörung auch den Grund für die Verhöre durch das CID unterschiedlich geschildert hat. An der BzP führte er diesbezüglich aus, der Organisator der Proteste (namens I._______), an welchen er teilgenommen habe, sei festgenommen worden und habe die Namen der Demonstrationsteilnehmenden den Behörden verraten, weshalb er rund drei Monate nach den Protesten von den Behörden ge- sucht worden sei (vgl. A5, Ziff. 7.02). An der Anhörung gab er demgegen- über an, ein Freund, welcher ihm geholfen habe Poster der TNA anzubrin- gen und auf sein Aufgebot hin an Protesten teilgenommen habe, welche er mitorganisiert habe, sei verhaftet worden und habe ihn den Behörden ver- raten (vgl. A11, F93 f. und F132), weshalb er vom CID einbestellt worden sei. Weiter gab er an der Anhörung bei der freien Schilderung seiner Asyl- gründe zunächst an, die Behörden hätten ihn aufgrund des Anbringens der Poster zwei Mal verhört (vgl. A11, F93). Kurz darauf machte er jedoch gel- tend, in den Jahren 2006/2007 respektive 2007/2008 aufgrund seiner Un- terstützung für seinen Nachbarn zwei Mal verhört worden zu sein und dass es ab 2007 zu keinen weiteren Verhören gekommen sei (vgl. A11, F94, F102, F114 f., F137 ff., F142, F145). Sodann spricht der Umstand, dass der Beschwerdeführer sowohl für die Einreise im Jahr 2015 als auch die Ausreisen in den Jahren 2011 und 2015 einen auf seine Personalien lautenden Pass benutzt habe, sowohl ent- schieden gegen das Vorhandensein eines tatsächlichen Verfolgungsinte- resses der sri-lankischen Behörden als auch erheblich gegen eine subjek- tive Verfolgungsfurcht (vgl. A5, Ziff. 4.02 und 5.01 f.; A11, F81, F150, F175). Es ist nur schwer nachvollziehbar, dass eine angeblich verfolgte Person sich willentlich und wissentlich einem derartigen Risiko ausgesetzt haben und mit den sri-lankischen Behörden mehrmals – unter Angabe der korrek- ten Personalien und unter Vorlage echter Ausweispapiere – in Kontakt ge- treten sein soll. Ferner erscheint realitätsfern, dass der Beschwerdeführer, wäre er effektiv behördlich gesucht gewesen, anstandslos legal hätte ein- reisen und die Kontrollen am Flughaften problemlos hätte passieren kön- nen. Auch die Behauptung, er sei bereits einen Tag nach seiner Einreise wieder bei seinen Eltern gesucht worden, ist vor diesem Hintergrund als kaum lebensnah einzustufen. Wäre er von den Behörden effektiv gesucht worden, so hätten diese ihn sicherlich nicht anstandslos einreisen lassen,</w:t>
      </w:r>
    </w:p>
    <w:p>
      <w:r>
        <w:t>E-1887/2020 Seite 12 sondern hätten ihn direkt im Zeitpunkt der Einreise festgehalten. Es er- scheint lebensfremd, dass eine Behörde bei der Einreise eines Gesuchten auf die Möglichkeit eines Zugriffs verzichtet und diesem dadurch aktiv die Gelegenheit gibt, sich durch Untertauchen einem Zugriff zu entziehen, um ihn dann erst später, nunmehr spekulierend über seinen Aufenthalt, bei sei- nen Eltern zu suchen. Hinsichtlich weiterer Unstimmigkeiten und insbesondere der mangelnden Substanz der geschilderten Verfolgung im Jahr 2015 kann auf die zutref- fenden Erwägungen der Vorinstanz (vgl. angefochtene Verfügung E. II Ziff. 2) verwiesen werden, denen sich das Gericht anschliesst und welche der Beschwerdeführer mit seiner Beschwerdeeingabe nicht umzustossen vermochte. Im Übrigen ist anzufügen, dass in keiner Weise nachvollziehbar erscheint, weshalb es der sich damals noch im Teenager-Alter befindende Beschwer- deführer – und nicht etwa sein Vater – gewesen sein soll, der aufgrund der gelegentlichen Beherbergung seines Nachbarn im Elternhaus (resp. auf deren Grundstück) Probleme mit dem CID bekommen habe. Dies, zumal dann ja auch die Eltern davon gewusst hätten und der Nachbar bei ihnen ein regelmässiger Gast gewesen sei (vgl. A11, F97, F102). Diesbezüglich ist sodann ebenfalls nicht nachvollziehbar, weshalb ihn die Eltern nach dem Besuch der CID hätten tadeln und ihn fragen sollen, weshalb er mit solchen Personen verkehre und diese zuhause übernachten lasse (vgl. A11, F105).</w:t>
      </w:r>
    </w:p>
    <w:p>
      <w:r>
        <w:rPr>
          <w:b/>
        </w:rPr>
        <w:t>E. 6.2</w:t>
      </w:r>
    </w:p>
    <w:p>
      <w:r>
        <w:t>Die in den Schilderungen des Beschwerdeführers vereinzelt auszuma- chenden Realkennzeichen wie die Wiedergabe von Details, Gedanken- gängen sowie direkte Rede (vgl. z.B. A11, F114, F121 f., F160 f.) sind klar- erweise nicht geeignet, die festgestellten Unglaubhaftigkeitselemente auf- zuwiegen. Die mit der Beschwerde eingereichte ärztliche Bestätigung vom (…)April 2020, wonach an (…), (…)- und (…) des Beschwerdeführers alte, (…) zu sehen seien, vermag ebenfalls nicht zur Annahme der Glaubhaftigkeit der Vorbringen zu führen. Dies, zumal die darin beschriebenen (…) auf gänz- lich andere Ursachen als die vom Beschwerdeführer geschilderten zurück- zuführen sein könnten. Diesem Aspekt ist lediglich im Rahmen der nach- folgenden Risikofaktorenprüfung Rechnung zu tragen.</w:t>
      </w:r>
    </w:p>
    <w:p>
      <w:r>
        <w:rPr>
          <w:b/>
        </w:rPr>
        <w:t>E. 6.3</w:t>
      </w:r>
    </w:p>
    <w:p>
      <w:r>
        <w:t>Bezüglich allfälliger Risikofaktoren im Sinne des Referenzurteils des Bundesverwaltungsgerichts E-1866/2015 vom 15. Juli 2016 (vgl. a.a.O.</w:t>
      </w:r>
    </w:p>
    <w:p>
      <w:r>
        <w:t>E-1887/2020 Seite 13 E. 8.5), deren Vorliegen zur Bejahung der Flüchtlingseigenschaft führen könnten, kann mit den nachfolgenden Ausführungen auf die zutreffenden Erwägungen der Vorinstanz in der angefochtenen Verfügung (dort E. II Ziff. 3) verwiesen werden. Dem Beschwerdeführer ist es nicht gelungen, asylrelevante behördliche Verfolgungsmassnahmen glaubhaft zu machen. Dass er in den Jahren 2006 respektive 2007 allenfalls vom CID befragt worden sei, wurde von der Vorinstanz grundsätzlich nicht bestritten. Wie in der angefochtenen Verfü- gung aber zu Recht festgehalten wurde, vermochten allfällige, im Zeitpunkt der Ausreise bestehende Risikofaktoren kein Verfolgungsinteresse auszu- lösen, zumal er nach den beschriebenen Ereignissen noch mehrere Jahre lang in Sri Lanka geblieben und erst 2011 unbehelligt aus- und im Jahr 2015 wieder legal eingereist sei. Die weiteren Verfolgungsmassnahmen wurden für unglaubhaft befunden. Er weist auch keine direkten Verbindun- gen zur LTTE auf und machte keine regimekritischen exilpolitischen Aktivi- täten geltend. Aus den Akten ergeben sich – entgegen seiner subjektiven Einschätzung – keine objektiven Hinweise darauf, dass er bei den sri-lan- kischen Behörden einschlägig registriert wäre. Damit erfüllt er keine der stark risikobegründenden Faktoren. Die tamilische Ethnie des Beschwer- deführers, die längere Landesabwesenheit sowie die in der Arztbestäti- gung vom (…)April 2020 beschriebenen (…) stellen – sofern letztere äusserlich überhaupt sichtbar sind, was aus der Arztbestätigung nicht ein- mal hervorgeht – lediglich schwach risikobegründende Faktoren dar. Diese hinderten ihn scheinbar auch nicht an der mehrmaligen Ein- und Ausreise aus Sri Lanka. Gesamthaft betrachtet besteht kein Grund zu der Annahme, er könnte von den sri-lankischen Behörden als Gefahr wahrgenommen werden und könnte gefährdet sein. Eine allfällige Strafe und Überprüfung respektive Befragung aufgrund der Einreise ohne ordentliche Identitätspa- piere stellt keinen ernsthaften Nachteil im Sinne von Art. 3 Abs. 2 AsylG dar.</w:t>
      </w:r>
    </w:p>
    <w:p>
      <w:r>
        <w:rPr>
          <w:b/>
        </w:rPr>
        <w:t>E. 6.4</w:t>
      </w:r>
    </w:p>
    <w:p>
      <w:r>
        <w:t>Nach dem Ausgeführten ist es dem Beschwerdeführer nicht gelungen, eine asylrechtlich relevante Gefährdung im Zeitpunkt seiner Ausreise aus Sri Lanka glaubhaft zu machen. Es ist nicht davon auszugehen, dass ihm eine solche im Falle einer Rückkehr mit überwiegender Wahrscheinlichkeit drohen würde. Folglich hat die Vorinstanz zu Recht die Flüchtlingseigen- schaft des Beschwerdeführers verneint und sein Asylgesuch abgelehnt.</w:t>
      </w:r>
    </w:p>
    <w:p>
      <w:r>
        <w:rPr>
          <w:b/>
        </w:rPr>
        <w:t>E. 7</w:t>
      </w:r>
    </w:p>
    <w:p>
      <w:r>
        <w:t>E-1887/2020 Seite 14 Mangels entsprechender Rechtsbegehren und Beschwerdeausführungen kann hinsichtlich der Wegweisung und des angeordneten Wegweisungs- vollzugs vollständig auf die zutreffenden Erwägungen betreffend die in Rechtskraft erwachsenen Dispositivziffern 3-5 der angefochtenen Verfü- gung verwiesen werden (vgl. dort E. III).</w:t>
      </w:r>
    </w:p>
    <w:p>
      <w:r>
        <w:rPr>
          <w:b/>
        </w:rPr>
        <w:t>E. 8</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bereits geleistete Kostenvorschuss in gleicher Höhe ist zur Bezahlung der Verfahrenskosten zu verwenden.</w:t>
      </w:r>
    </w:p>
    <w:p>
      <w:r>
        <w:t>(Dispositiv nächste Seite)</w:t>
      </w:r>
    </w:p>
    <w:p>
      <w:r>
        <w:t>E-1887/2020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